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490F31" w14:textId="77777777" w:rsidR="00AA324E" w:rsidRPr="001700E0" w:rsidRDefault="00AA324E" w:rsidP="00AA324E">
      <w:pPr>
        <w:pBdr>
          <w:top w:val="single" w:sz="36" w:space="1" w:color="C0C0C0" w:shadow="1"/>
          <w:left w:val="single" w:sz="36" w:space="4" w:color="C0C0C0" w:shadow="1"/>
          <w:bottom w:val="single" w:sz="36" w:space="1" w:color="C0C0C0" w:shadow="1"/>
          <w:right w:val="single" w:sz="36" w:space="4" w:color="C0C0C0" w:shadow="1"/>
        </w:pBdr>
        <w:spacing w:line="360" w:lineRule="auto"/>
        <w:jc w:val="center"/>
        <w:rPr>
          <w:sz w:val="32"/>
          <w:szCs w:val="32"/>
        </w:rPr>
      </w:pPr>
    </w:p>
    <w:p w14:paraId="2FD88F49" w14:textId="77777777" w:rsidR="00AA324E" w:rsidRPr="001700E0" w:rsidRDefault="00AA324E" w:rsidP="00AA324E">
      <w:pPr>
        <w:pBdr>
          <w:top w:val="single" w:sz="36" w:space="1" w:color="C0C0C0" w:shadow="1"/>
          <w:left w:val="single" w:sz="36" w:space="4" w:color="C0C0C0" w:shadow="1"/>
          <w:bottom w:val="single" w:sz="36" w:space="1" w:color="C0C0C0" w:shadow="1"/>
          <w:right w:val="single" w:sz="36" w:space="4" w:color="C0C0C0" w:shadow="1"/>
        </w:pBdr>
        <w:spacing w:line="360" w:lineRule="auto"/>
        <w:jc w:val="center"/>
        <w:rPr>
          <w:sz w:val="32"/>
          <w:szCs w:val="32"/>
        </w:rPr>
      </w:pPr>
    </w:p>
    <w:p w14:paraId="21FDBE1C" w14:textId="77777777" w:rsidR="00AA324E" w:rsidRPr="001700E0" w:rsidRDefault="00AA324E" w:rsidP="00AA324E">
      <w:pPr>
        <w:pBdr>
          <w:top w:val="single" w:sz="36" w:space="1" w:color="C0C0C0" w:shadow="1"/>
          <w:left w:val="single" w:sz="36" w:space="4" w:color="C0C0C0" w:shadow="1"/>
          <w:bottom w:val="single" w:sz="36" w:space="1" w:color="C0C0C0" w:shadow="1"/>
          <w:right w:val="single" w:sz="36" w:space="4" w:color="C0C0C0" w:shadow="1"/>
        </w:pBdr>
        <w:spacing w:line="360" w:lineRule="auto"/>
        <w:jc w:val="center"/>
        <w:rPr>
          <w:sz w:val="32"/>
          <w:szCs w:val="32"/>
        </w:rPr>
      </w:pPr>
    </w:p>
    <w:p w14:paraId="3FE0F06D" w14:textId="48523805" w:rsidR="00AA324E" w:rsidRPr="001700E0" w:rsidRDefault="00E053F1" w:rsidP="00AA324E">
      <w:pPr>
        <w:pBdr>
          <w:top w:val="single" w:sz="36" w:space="1" w:color="C0C0C0" w:shadow="1"/>
          <w:left w:val="single" w:sz="36" w:space="4" w:color="C0C0C0" w:shadow="1"/>
          <w:bottom w:val="single" w:sz="36" w:space="1" w:color="C0C0C0" w:shadow="1"/>
          <w:right w:val="single" w:sz="36" w:space="4" w:color="C0C0C0" w:shadow="1"/>
        </w:pBdr>
        <w:spacing w:line="360" w:lineRule="auto"/>
        <w:jc w:val="center"/>
        <w:rPr>
          <w:b/>
          <w:sz w:val="32"/>
          <w:szCs w:val="32"/>
        </w:rPr>
      </w:pPr>
      <w:r>
        <w:rPr>
          <w:b/>
          <w:sz w:val="32"/>
          <w:szCs w:val="32"/>
        </w:rPr>
        <w:t xml:space="preserve">NOTICE NO. </w:t>
      </w:r>
      <w:r w:rsidRPr="00E053F1">
        <w:rPr>
          <w:b/>
          <w:sz w:val="32"/>
          <w:szCs w:val="32"/>
        </w:rPr>
        <w:t>SPB-002-26</w:t>
      </w:r>
    </w:p>
    <w:p w14:paraId="33745480" w14:textId="77777777" w:rsidR="00AA324E" w:rsidRPr="001700E0" w:rsidRDefault="00AA324E" w:rsidP="00AA324E">
      <w:pPr>
        <w:pBdr>
          <w:top w:val="single" w:sz="36" w:space="1" w:color="C0C0C0" w:shadow="1"/>
          <w:left w:val="single" w:sz="36" w:space="4" w:color="C0C0C0" w:shadow="1"/>
          <w:bottom w:val="single" w:sz="36" w:space="1" w:color="C0C0C0" w:shadow="1"/>
          <w:right w:val="single" w:sz="36" w:space="4" w:color="C0C0C0" w:shadow="1"/>
        </w:pBdr>
        <w:spacing w:line="360" w:lineRule="auto"/>
        <w:jc w:val="center"/>
        <w:rPr>
          <w:b/>
          <w:sz w:val="32"/>
          <w:szCs w:val="32"/>
        </w:rPr>
      </w:pPr>
    </w:p>
    <w:p w14:paraId="79FC6759" w14:textId="4F2ECEEE" w:rsidR="00AA324E" w:rsidRPr="001700E0" w:rsidRDefault="00E053F1" w:rsidP="00AA324E">
      <w:pPr>
        <w:pBdr>
          <w:top w:val="single" w:sz="36" w:space="1" w:color="C0C0C0" w:shadow="1"/>
          <w:left w:val="single" w:sz="36" w:space="4" w:color="C0C0C0" w:shadow="1"/>
          <w:bottom w:val="single" w:sz="36" w:space="1" w:color="C0C0C0" w:shadow="1"/>
          <w:right w:val="single" w:sz="36" w:space="4" w:color="C0C0C0" w:shadow="1"/>
        </w:pBdr>
        <w:spacing w:line="360" w:lineRule="auto"/>
        <w:jc w:val="center"/>
        <w:rPr>
          <w:b/>
          <w:sz w:val="32"/>
          <w:szCs w:val="32"/>
        </w:rPr>
      </w:pPr>
      <w:r>
        <w:rPr>
          <w:b/>
          <w:sz w:val="32"/>
          <w:szCs w:val="32"/>
        </w:rPr>
        <w:t xml:space="preserve">CONSULTATION ON THE REVISIONS TO THE </w:t>
      </w:r>
      <w:r>
        <w:rPr>
          <w:b/>
          <w:sz w:val="32"/>
          <w:szCs w:val="32"/>
        </w:rPr>
        <w:br/>
      </w:r>
      <w:r w:rsidRPr="00E053F1">
        <w:rPr>
          <w:b/>
          <w:sz w:val="32"/>
          <w:szCs w:val="32"/>
        </w:rPr>
        <w:t>2500-2690 MHZ BAND PLAN</w:t>
      </w:r>
    </w:p>
    <w:p w14:paraId="6315C3A1" w14:textId="77777777" w:rsidR="00AA324E" w:rsidRPr="001700E0" w:rsidRDefault="00AA324E" w:rsidP="00AA324E">
      <w:pPr>
        <w:pBdr>
          <w:top w:val="single" w:sz="36" w:space="1" w:color="C0C0C0" w:shadow="1"/>
          <w:left w:val="single" w:sz="36" w:space="4" w:color="C0C0C0" w:shadow="1"/>
          <w:bottom w:val="single" w:sz="36" w:space="1" w:color="C0C0C0" w:shadow="1"/>
          <w:right w:val="single" w:sz="36" w:space="4" w:color="C0C0C0" w:shadow="1"/>
        </w:pBdr>
        <w:spacing w:line="360" w:lineRule="auto"/>
        <w:jc w:val="center"/>
        <w:rPr>
          <w:b/>
          <w:sz w:val="32"/>
          <w:szCs w:val="32"/>
        </w:rPr>
      </w:pPr>
    </w:p>
    <w:p w14:paraId="447B495A" w14:textId="77777777" w:rsidR="00866846" w:rsidRPr="00273961" w:rsidRDefault="00866846" w:rsidP="00866846">
      <w:pPr>
        <w:pBdr>
          <w:top w:val="single" w:sz="36" w:space="1" w:color="C0C0C0" w:shadow="1"/>
          <w:left w:val="single" w:sz="36" w:space="4" w:color="C0C0C0" w:shadow="1"/>
          <w:bottom w:val="single" w:sz="36" w:space="1" w:color="C0C0C0" w:shadow="1"/>
          <w:right w:val="single" w:sz="36" w:space="4" w:color="C0C0C0" w:shadow="1"/>
        </w:pBdr>
        <w:tabs>
          <w:tab w:val="left" w:pos="4111"/>
        </w:tabs>
        <w:spacing w:line="360" w:lineRule="auto"/>
        <w:contextualSpacing/>
        <w:jc w:val="center"/>
        <w:rPr>
          <w:rFonts w:cs="Arial"/>
          <w:b/>
          <w:sz w:val="32"/>
          <w:szCs w:val="32"/>
        </w:rPr>
      </w:pPr>
      <w:r w:rsidRPr="00273961">
        <w:rPr>
          <w:rFonts w:cs="Arial"/>
          <w:b/>
          <w:sz w:val="32"/>
          <w:szCs w:val="32"/>
        </w:rPr>
        <w:t xml:space="preserve">PUBLISHED IN THE </w:t>
      </w:r>
      <w:r w:rsidRPr="00883F1D">
        <w:rPr>
          <w:rFonts w:cs="Arial"/>
          <w:b/>
          <w:i/>
          <w:iCs/>
          <w:sz w:val="32"/>
          <w:szCs w:val="32"/>
        </w:rPr>
        <w:t>CANADA GAZETTE</w:t>
      </w:r>
      <w:r w:rsidRPr="00273961">
        <w:rPr>
          <w:rFonts w:cs="Arial"/>
          <w:b/>
          <w:sz w:val="32"/>
          <w:szCs w:val="32"/>
        </w:rPr>
        <w:t xml:space="preserve">, </w:t>
      </w:r>
      <w:r w:rsidRPr="00883F1D">
        <w:rPr>
          <w:rFonts w:cs="Arial"/>
          <w:b/>
          <w:i/>
          <w:iCs/>
          <w:sz w:val="32"/>
          <w:szCs w:val="32"/>
        </w:rPr>
        <w:t>PART I</w:t>
      </w:r>
    </w:p>
    <w:p w14:paraId="48B9EC3E" w14:textId="77777777" w:rsidR="00866846" w:rsidRPr="001700E0" w:rsidRDefault="00866846" w:rsidP="00866846">
      <w:pPr>
        <w:pBdr>
          <w:top w:val="single" w:sz="36" w:space="1" w:color="C0C0C0" w:shadow="1"/>
          <w:left w:val="single" w:sz="36" w:space="4" w:color="C0C0C0" w:shadow="1"/>
          <w:bottom w:val="single" w:sz="36" w:space="1" w:color="C0C0C0" w:shadow="1"/>
          <w:right w:val="single" w:sz="36" w:space="4" w:color="C0C0C0" w:shadow="1"/>
        </w:pBdr>
        <w:spacing w:line="360" w:lineRule="auto"/>
        <w:jc w:val="center"/>
        <w:rPr>
          <w:b/>
          <w:sz w:val="32"/>
          <w:szCs w:val="32"/>
        </w:rPr>
      </w:pPr>
      <w:r>
        <w:rPr>
          <w:b/>
          <w:sz w:val="32"/>
          <w:szCs w:val="32"/>
        </w:rPr>
        <w:t>ON 14 FEBRUARY 2026</w:t>
      </w:r>
    </w:p>
    <w:p w14:paraId="53B91B40" w14:textId="77777777" w:rsidR="00AA324E" w:rsidRPr="001700E0" w:rsidRDefault="00AA324E" w:rsidP="00AA324E">
      <w:pPr>
        <w:pBdr>
          <w:top w:val="single" w:sz="36" w:space="1" w:color="C0C0C0" w:shadow="1"/>
          <w:left w:val="single" w:sz="36" w:space="4" w:color="C0C0C0" w:shadow="1"/>
          <w:bottom w:val="single" w:sz="36" w:space="1" w:color="C0C0C0" w:shadow="1"/>
          <w:right w:val="single" w:sz="36" w:space="4" w:color="C0C0C0" w:shadow="1"/>
        </w:pBdr>
        <w:spacing w:line="360" w:lineRule="auto"/>
        <w:jc w:val="center"/>
        <w:rPr>
          <w:b/>
          <w:sz w:val="32"/>
          <w:szCs w:val="32"/>
        </w:rPr>
      </w:pPr>
    </w:p>
    <w:p w14:paraId="7F573AD7" w14:textId="77777777" w:rsidR="00AA324E" w:rsidRPr="001700E0" w:rsidRDefault="00AA324E" w:rsidP="00AA324E">
      <w:pPr>
        <w:pBdr>
          <w:top w:val="single" w:sz="36" w:space="1" w:color="C0C0C0" w:shadow="1"/>
          <w:left w:val="single" w:sz="36" w:space="4" w:color="C0C0C0" w:shadow="1"/>
          <w:bottom w:val="single" w:sz="36" w:space="1" w:color="C0C0C0" w:shadow="1"/>
          <w:right w:val="single" w:sz="36" w:space="4" w:color="C0C0C0" w:shadow="1"/>
        </w:pBdr>
        <w:spacing w:line="360" w:lineRule="auto"/>
        <w:jc w:val="center"/>
        <w:rPr>
          <w:b/>
          <w:sz w:val="32"/>
          <w:szCs w:val="32"/>
        </w:rPr>
      </w:pPr>
    </w:p>
    <w:p w14:paraId="17BDFEA6" w14:textId="20D37604" w:rsidR="00AA324E" w:rsidRDefault="00147142" w:rsidP="00AA324E">
      <w:pPr>
        <w:pBdr>
          <w:top w:val="single" w:sz="36" w:space="1" w:color="C0C0C0" w:shadow="1"/>
          <w:left w:val="single" w:sz="36" w:space="4" w:color="C0C0C0" w:shadow="1"/>
          <w:bottom w:val="single" w:sz="36" w:space="1" w:color="C0C0C0" w:shadow="1"/>
          <w:right w:val="single" w:sz="36" w:space="4" w:color="C0C0C0" w:shadow="1"/>
        </w:pBdr>
        <w:spacing w:line="360" w:lineRule="auto"/>
        <w:jc w:val="center"/>
        <w:rPr>
          <w:b/>
          <w:sz w:val="32"/>
          <w:szCs w:val="32"/>
        </w:rPr>
      </w:pPr>
      <w:r>
        <w:rPr>
          <w:b/>
          <w:sz w:val="32"/>
          <w:szCs w:val="32"/>
        </w:rPr>
        <w:t>COMMENTS</w:t>
      </w:r>
    </w:p>
    <w:p w14:paraId="5BAB61FF" w14:textId="3C81531D" w:rsidR="00147142" w:rsidRDefault="00147142" w:rsidP="00AA324E">
      <w:pPr>
        <w:pBdr>
          <w:top w:val="single" w:sz="36" w:space="1" w:color="C0C0C0" w:shadow="1"/>
          <w:left w:val="single" w:sz="36" w:space="4" w:color="C0C0C0" w:shadow="1"/>
          <w:bottom w:val="single" w:sz="36" w:space="1" w:color="C0C0C0" w:shadow="1"/>
          <w:right w:val="single" w:sz="36" w:space="4" w:color="C0C0C0" w:shadow="1"/>
        </w:pBdr>
        <w:spacing w:line="360" w:lineRule="auto"/>
        <w:jc w:val="center"/>
        <w:rPr>
          <w:b/>
          <w:sz w:val="32"/>
          <w:szCs w:val="32"/>
        </w:rPr>
      </w:pPr>
      <w:r>
        <w:rPr>
          <w:b/>
          <w:sz w:val="32"/>
          <w:szCs w:val="32"/>
        </w:rPr>
        <w:t>OF</w:t>
      </w:r>
    </w:p>
    <w:p w14:paraId="6677EAF8" w14:textId="16456842" w:rsidR="00147142" w:rsidRDefault="00147142" w:rsidP="00AA324E">
      <w:pPr>
        <w:pBdr>
          <w:top w:val="single" w:sz="36" w:space="1" w:color="C0C0C0" w:shadow="1"/>
          <w:left w:val="single" w:sz="36" w:space="4" w:color="C0C0C0" w:shadow="1"/>
          <w:bottom w:val="single" w:sz="36" w:space="1" w:color="C0C0C0" w:shadow="1"/>
          <w:right w:val="single" w:sz="36" w:space="4" w:color="C0C0C0" w:shadow="1"/>
        </w:pBdr>
        <w:spacing w:line="360" w:lineRule="auto"/>
        <w:jc w:val="center"/>
        <w:rPr>
          <w:b/>
          <w:sz w:val="32"/>
          <w:szCs w:val="32"/>
        </w:rPr>
      </w:pPr>
      <w:r>
        <w:rPr>
          <w:b/>
          <w:sz w:val="32"/>
          <w:szCs w:val="32"/>
        </w:rPr>
        <w:t>BELL MOBILITY INC.</w:t>
      </w:r>
    </w:p>
    <w:p w14:paraId="20EC60D4" w14:textId="77777777" w:rsidR="00147142" w:rsidRDefault="00147142" w:rsidP="00AA324E">
      <w:pPr>
        <w:pBdr>
          <w:top w:val="single" w:sz="36" w:space="1" w:color="C0C0C0" w:shadow="1"/>
          <w:left w:val="single" w:sz="36" w:space="4" w:color="C0C0C0" w:shadow="1"/>
          <w:bottom w:val="single" w:sz="36" w:space="1" w:color="C0C0C0" w:shadow="1"/>
          <w:right w:val="single" w:sz="36" w:space="4" w:color="C0C0C0" w:shadow="1"/>
        </w:pBdr>
        <w:spacing w:line="360" w:lineRule="auto"/>
        <w:jc w:val="center"/>
        <w:rPr>
          <w:b/>
          <w:sz w:val="32"/>
          <w:szCs w:val="32"/>
        </w:rPr>
      </w:pPr>
    </w:p>
    <w:p w14:paraId="4F9E2ED3" w14:textId="77777777" w:rsidR="00147142" w:rsidRDefault="00147142" w:rsidP="00AA324E">
      <w:pPr>
        <w:pBdr>
          <w:top w:val="single" w:sz="36" w:space="1" w:color="C0C0C0" w:shadow="1"/>
          <w:left w:val="single" w:sz="36" w:space="4" w:color="C0C0C0" w:shadow="1"/>
          <w:bottom w:val="single" w:sz="36" w:space="1" w:color="C0C0C0" w:shadow="1"/>
          <w:right w:val="single" w:sz="36" w:space="4" w:color="C0C0C0" w:shadow="1"/>
        </w:pBdr>
        <w:spacing w:line="360" w:lineRule="auto"/>
        <w:jc w:val="center"/>
        <w:rPr>
          <w:b/>
          <w:sz w:val="32"/>
          <w:szCs w:val="32"/>
        </w:rPr>
      </w:pPr>
    </w:p>
    <w:p w14:paraId="32815AF6" w14:textId="77777777" w:rsidR="00147142" w:rsidRDefault="00147142" w:rsidP="00AA324E">
      <w:pPr>
        <w:pBdr>
          <w:top w:val="single" w:sz="36" w:space="1" w:color="C0C0C0" w:shadow="1"/>
          <w:left w:val="single" w:sz="36" w:space="4" w:color="C0C0C0" w:shadow="1"/>
          <w:bottom w:val="single" w:sz="36" w:space="1" w:color="C0C0C0" w:shadow="1"/>
          <w:right w:val="single" w:sz="36" w:space="4" w:color="C0C0C0" w:shadow="1"/>
        </w:pBdr>
        <w:spacing w:line="360" w:lineRule="auto"/>
        <w:jc w:val="center"/>
        <w:rPr>
          <w:b/>
          <w:sz w:val="32"/>
          <w:szCs w:val="32"/>
        </w:rPr>
      </w:pPr>
    </w:p>
    <w:p w14:paraId="2A10C1C7" w14:textId="77777777" w:rsidR="00147142" w:rsidRDefault="00147142" w:rsidP="00AA324E">
      <w:pPr>
        <w:pBdr>
          <w:top w:val="single" w:sz="36" w:space="1" w:color="C0C0C0" w:shadow="1"/>
          <w:left w:val="single" w:sz="36" w:space="4" w:color="C0C0C0" w:shadow="1"/>
          <w:bottom w:val="single" w:sz="36" w:space="1" w:color="C0C0C0" w:shadow="1"/>
          <w:right w:val="single" w:sz="36" w:space="4" w:color="C0C0C0" w:shadow="1"/>
        </w:pBdr>
        <w:spacing w:line="360" w:lineRule="auto"/>
        <w:jc w:val="center"/>
        <w:rPr>
          <w:b/>
          <w:sz w:val="32"/>
          <w:szCs w:val="32"/>
        </w:rPr>
      </w:pPr>
    </w:p>
    <w:p w14:paraId="2EA8C99C" w14:textId="77777777" w:rsidR="00147142" w:rsidRDefault="00147142" w:rsidP="00AA324E">
      <w:pPr>
        <w:pBdr>
          <w:top w:val="single" w:sz="36" w:space="1" w:color="C0C0C0" w:shadow="1"/>
          <w:left w:val="single" w:sz="36" w:space="4" w:color="C0C0C0" w:shadow="1"/>
          <w:bottom w:val="single" w:sz="36" w:space="1" w:color="C0C0C0" w:shadow="1"/>
          <w:right w:val="single" w:sz="36" w:space="4" w:color="C0C0C0" w:shadow="1"/>
        </w:pBdr>
        <w:spacing w:line="360" w:lineRule="auto"/>
        <w:jc w:val="center"/>
        <w:rPr>
          <w:b/>
          <w:sz w:val="32"/>
          <w:szCs w:val="32"/>
        </w:rPr>
      </w:pPr>
    </w:p>
    <w:p w14:paraId="14BBFB57" w14:textId="5B8089FC" w:rsidR="00147142" w:rsidRPr="001700E0" w:rsidRDefault="00147142" w:rsidP="00AA324E">
      <w:pPr>
        <w:pBdr>
          <w:top w:val="single" w:sz="36" w:space="1" w:color="C0C0C0" w:shadow="1"/>
          <w:left w:val="single" w:sz="36" w:space="4" w:color="C0C0C0" w:shadow="1"/>
          <w:bottom w:val="single" w:sz="36" w:space="1" w:color="C0C0C0" w:shadow="1"/>
          <w:right w:val="single" w:sz="36" w:space="4" w:color="C0C0C0" w:shadow="1"/>
        </w:pBdr>
        <w:spacing w:line="360" w:lineRule="auto"/>
        <w:jc w:val="center"/>
        <w:rPr>
          <w:b/>
          <w:sz w:val="32"/>
          <w:szCs w:val="32"/>
        </w:rPr>
      </w:pPr>
      <w:r>
        <w:rPr>
          <w:b/>
          <w:sz w:val="32"/>
          <w:szCs w:val="32"/>
        </w:rPr>
        <w:t>31 MARCH 2026</w:t>
      </w:r>
    </w:p>
    <w:p w14:paraId="6EDEE2EB" w14:textId="77777777" w:rsidR="00AA324E" w:rsidRDefault="00AA324E" w:rsidP="00AA324E">
      <w:pPr>
        <w:pBdr>
          <w:top w:val="single" w:sz="36" w:space="1" w:color="C0C0C0" w:shadow="1"/>
          <w:left w:val="single" w:sz="36" w:space="4" w:color="C0C0C0" w:shadow="1"/>
          <w:bottom w:val="single" w:sz="36" w:space="1" w:color="C0C0C0" w:shadow="1"/>
          <w:right w:val="single" w:sz="36" w:space="4" w:color="C0C0C0" w:shadow="1"/>
        </w:pBdr>
        <w:spacing w:line="360" w:lineRule="auto"/>
        <w:jc w:val="center"/>
        <w:rPr>
          <w:b/>
          <w:sz w:val="32"/>
          <w:szCs w:val="32"/>
        </w:rPr>
      </w:pPr>
    </w:p>
    <w:p w14:paraId="77B44F8C" w14:textId="77777777" w:rsidR="00AA324E" w:rsidRDefault="00AA324E" w:rsidP="00AA324E">
      <w:pPr>
        <w:pBdr>
          <w:top w:val="single" w:sz="36" w:space="1" w:color="C0C0C0" w:shadow="1"/>
          <w:left w:val="single" w:sz="36" w:space="4" w:color="C0C0C0" w:shadow="1"/>
          <w:bottom w:val="single" w:sz="36" w:space="1" w:color="C0C0C0" w:shadow="1"/>
          <w:right w:val="single" w:sz="36" w:space="4" w:color="C0C0C0" w:shadow="1"/>
        </w:pBdr>
        <w:spacing w:line="360" w:lineRule="auto"/>
        <w:jc w:val="center"/>
        <w:rPr>
          <w:b/>
          <w:sz w:val="32"/>
          <w:szCs w:val="32"/>
        </w:rPr>
      </w:pPr>
    </w:p>
    <w:p w14:paraId="5B5CA991" w14:textId="77777777" w:rsidR="00AA324E" w:rsidRDefault="00AA324E" w:rsidP="00AA324E">
      <w:pPr>
        <w:pBdr>
          <w:top w:val="single" w:sz="36" w:space="1" w:color="C0C0C0" w:shadow="1"/>
          <w:left w:val="single" w:sz="36" w:space="4" w:color="C0C0C0" w:shadow="1"/>
          <w:bottom w:val="single" w:sz="36" w:space="1" w:color="C0C0C0" w:shadow="1"/>
          <w:right w:val="single" w:sz="36" w:space="4" w:color="C0C0C0" w:shadow="1"/>
        </w:pBdr>
        <w:jc w:val="center"/>
        <w:rPr>
          <w:b/>
          <w:sz w:val="32"/>
          <w:szCs w:val="32"/>
        </w:rPr>
        <w:sectPr w:rsidR="00AA324E" w:rsidSect="009856E8">
          <w:headerReference w:type="even" r:id="rId8"/>
          <w:headerReference w:type="default" r:id="rId9"/>
          <w:footerReference w:type="even" r:id="rId10"/>
          <w:footerReference w:type="default" r:id="rId11"/>
          <w:headerReference w:type="first" r:id="rId12"/>
          <w:footerReference w:type="first" r:id="rId13"/>
          <w:pgSz w:w="12240" w:h="15840" w:code="1"/>
          <w:pgMar w:top="1080" w:right="1440" w:bottom="1080" w:left="1440" w:header="720" w:footer="720" w:gutter="0"/>
          <w:cols w:space="708"/>
          <w:titlePg/>
          <w:docGrid w:linePitch="360"/>
        </w:sectPr>
      </w:pPr>
    </w:p>
    <w:p w14:paraId="0CE1F552" w14:textId="77777777" w:rsidR="00AA324E" w:rsidRPr="00A27F5C" w:rsidRDefault="00AA324E" w:rsidP="00AA324E">
      <w:pPr>
        <w:jc w:val="center"/>
        <w:rPr>
          <w:rFonts w:cs="Arial"/>
          <w:b/>
          <w:szCs w:val="22"/>
          <w:u w:val="single"/>
        </w:rPr>
      </w:pPr>
      <w:r w:rsidRPr="00A27F5C">
        <w:rPr>
          <w:rFonts w:cs="Arial"/>
          <w:b/>
          <w:szCs w:val="22"/>
          <w:u w:val="single"/>
        </w:rPr>
        <w:lastRenderedPageBreak/>
        <w:t>Table of Contents</w:t>
      </w:r>
    </w:p>
    <w:p w14:paraId="538D15DE" w14:textId="77777777" w:rsidR="00AA324E" w:rsidRDefault="00AA324E" w:rsidP="00AA324E">
      <w:pPr>
        <w:rPr>
          <w:rFonts w:cs="Arial"/>
          <w:szCs w:val="22"/>
        </w:rPr>
      </w:pPr>
    </w:p>
    <w:p w14:paraId="668CBFA3" w14:textId="77777777" w:rsidR="00AA324E" w:rsidRPr="00A27F5C" w:rsidRDefault="00AA324E" w:rsidP="00AA324E">
      <w:pPr>
        <w:tabs>
          <w:tab w:val="right" w:pos="9360"/>
        </w:tabs>
        <w:jc w:val="right"/>
        <w:rPr>
          <w:rFonts w:cs="Arial"/>
          <w:b/>
          <w:szCs w:val="22"/>
          <w:u w:val="single"/>
        </w:rPr>
      </w:pPr>
      <w:r w:rsidRPr="00A27F5C">
        <w:rPr>
          <w:rFonts w:cs="Arial"/>
          <w:b/>
          <w:szCs w:val="22"/>
          <w:u w:val="single"/>
        </w:rPr>
        <w:t>Page</w:t>
      </w:r>
    </w:p>
    <w:p w14:paraId="40A0AFD3" w14:textId="77777777" w:rsidR="00AA324E" w:rsidRPr="002E78BE" w:rsidRDefault="00AA324E" w:rsidP="00AA324E">
      <w:pPr>
        <w:rPr>
          <w:rFonts w:cs="Arial"/>
          <w:szCs w:val="22"/>
        </w:rPr>
      </w:pPr>
    </w:p>
    <w:p w14:paraId="6E5E5EB9" w14:textId="6FC0DE4C" w:rsidR="00BB0770" w:rsidRDefault="00366057" w:rsidP="00BB0770">
      <w:pPr>
        <w:pStyle w:val="TOC1"/>
        <w:tabs>
          <w:tab w:val="right" w:leader="dot" w:pos="9360"/>
        </w:tabs>
        <w:ind w:left="720" w:right="360" w:hanging="720"/>
        <w:jc w:val="both"/>
        <w:rPr>
          <w:rFonts w:asciiTheme="minorHAnsi" w:eastAsiaTheme="minorEastAsia" w:hAnsiTheme="minorHAnsi" w:cstheme="minorBidi"/>
          <w:noProof/>
          <w:kern w:val="2"/>
          <w:sz w:val="24"/>
          <w:szCs w:val="24"/>
          <w14:ligatures w14:val="standardContextual"/>
        </w:rPr>
      </w:pPr>
      <w:r>
        <w:rPr>
          <w:rFonts w:cs="Arial"/>
          <w:szCs w:val="22"/>
        </w:rPr>
        <w:fldChar w:fldCharType="begin"/>
      </w:r>
      <w:r>
        <w:rPr>
          <w:rFonts w:cs="Arial"/>
          <w:szCs w:val="22"/>
        </w:rPr>
        <w:instrText xml:space="preserve"> TOC \o "1-3" \h \z \u </w:instrText>
      </w:r>
      <w:r>
        <w:rPr>
          <w:rFonts w:cs="Arial"/>
          <w:szCs w:val="22"/>
        </w:rPr>
        <w:fldChar w:fldCharType="separate"/>
      </w:r>
      <w:hyperlink w:anchor="_Toc225843473" w:history="1">
        <w:r w:rsidR="00BB0770" w:rsidRPr="00323A0C">
          <w:rPr>
            <w:rStyle w:val="Hyperlink"/>
            <w:noProof/>
          </w:rPr>
          <w:t>1.0</w:t>
        </w:r>
        <w:r w:rsidR="00BB0770">
          <w:rPr>
            <w:rFonts w:asciiTheme="minorHAnsi" w:eastAsiaTheme="minorEastAsia" w:hAnsiTheme="minorHAnsi" w:cstheme="minorBidi"/>
            <w:noProof/>
            <w:kern w:val="2"/>
            <w:sz w:val="24"/>
            <w:szCs w:val="24"/>
            <w14:ligatures w14:val="standardContextual"/>
          </w:rPr>
          <w:tab/>
        </w:r>
        <w:r w:rsidR="00BB0770" w:rsidRPr="00323A0C">
          <w:rPr>
            <w:rStyle w:val="Hyperlink"/>
            <w:noProof/>
          </w:rPr>
          <w:t>INTRODUCTION</w:t>
        </w:r>
        <w:r w:rsidR="00BB0770">
          <w:rPr>
            <w:noProof/>
            <w:webHidden/>
          </w:rPr>
          <w:tab/>
        </w:r>
        <w:r w:rsidR="00BB0770">
          <w:rPr>
            <w:noProof/>
            <w:webHidden/>
          </w:rPr>
          <w:fldChar w:fldCharType="begin"/>
        </w:r>
        <w:r w:rsidR="00BB0770">
          <w:rPr>
            <w:noProof/>
            <w:webHidden/>
          </w:rPr>
          <w:instrText xml:space="preserve"> PAGEREF _Toc225843473 \h </w:instrText>
        </w:r>
        <w:r w:rsidR="00BB0770">
          <w:rPr>
            <w:noProof/>
            <w:webHidden/>
          </w:rPr>
        </w:r>
        <w:r w:rsidR="00BB0770">
          <w:rPr>
            <w:noProof/>
            <w:webHidden/>
          </w:rPr>
          <w:fldChar w:fldCharType="separate"/>
        </w:r>
        <w:r w:rsidR="00A509B4">
          <w:rPr>
            <w:noProof/>
            <w:webHidden/>
          </w:rPr>
          <w:t>3</w:t>
        </w:r>
        <w:r w:rsidR="00BB0770">
          <w:rPr>
            <w:noProof/>
            <w:webHidden/>
          </w:rPr>
          <w:fldChar w:fldCharType="end"/>
        </w:r>
      </w:hyperlink>
    </w:p>
    <w:p w14:paraId="3564E149" w14:textId="38E880D9" w:rsidR="00BB0770" w:rsidRDefault="00BB0770" w:rsidP="00BB0770">
      <w:pPr>
        <w:pStyle w:val="TOC1"/>
        <w:tabs>
          <w:tab w:val="right" w:leader="dot" w:pos="9360"/>
        </w:tabs>
        <w:ind w:left="720" w:right="360" w:hanging="720"/>
        <w:jc w:val="both"/>
        <w:rPr>
          <w:rFonts w:asciiTheme="minorHAnsi" w:eastAsiaTheme="minorEastAsia" w:hAnsiTheme="minorHAnsi" w:cstheme="minorBidi"/>
          <w:noProof/>
          <w:kern w:val="2"/>
          <w:sz w:val="24"/>
          <w:szCs w:val="24"/>
          <w14:ligatures w14:val="standardContextual"/>
        </w:rPr>
      </w:pPr>
      <w:hyperlink w:anchor="_Toc225843474" w:history="1">
        <w:r w:rsidRPr="00323A0C">
          <w:rPr>
            <w:rStyle w:val="Hyperlink"/>
            <w:noProof/>
          </w:rPr>
          <w:t>2.0</w:t>
        </w:r>
        <w:r>
          <w:rPr>
            <w:rFonts w:asciiTheme="minorHAnsi" w:eastAsiaTheme="minorEastAsia" w:hAnsiTheme="minorHAnsi" w:cstheme="minorBidi"/>
            <w:noProof/>
            <w:kern w:val="2"/>
            <w:sz w:val="24"/>
            <w:szCs w:val="24"/>
            <w14:ligatures w14:val="standardContextual"/>
          </w:rPr>
          <w:tab/>
        </w:r>
        <w:r w:rsidRPr="00323A0C">
          <w:rPr>
            <w:rStyle w:val="Hyperlink"/>
            <w:noProof/>
          </w:rPr>
          <w:t>NEW 2500 MHZ TDD BAND PLAN</w:t>
        </w:r>
        <w:r>
          <w:rPr>
            <w:noProof/>
            <w:webHidden/>
          </w:rPr>
          <w:tab/>
        </w:r>
        <w:r>
          <w:rPr>
            <w:noProof/>
            <w:webHidden/>
          </w:rPr>
          <w:fldChar w:fldCharType="begin"/>
        </w:r>
        <w:r>
          <w:rPr>
            <w:noProof/>
            <w:webHidden/>
          </w:rPr>
          <w:instrText xml:space="preserve"> PAGEREF _Toc225843474 \h </w:instrText>
        </w:r>
        <w:r>
          <w:rPr>
            <w:noProof/>
            <w:webHidden/>
          </w:rPr>
        </w:r>
        <w:r>
          <w:rPr>
            <w:noProof/>
            <w:webHidden/>
          </w:rPr>
          <w:fldChar w:fldCharType="separate"/>
        </w:r>
        <w:r w:rsidR="00A509B4">
          <w:rPr>
            <w:noProof/>
            <w:webHidden/>
          </w:rPr>
          <w:t>4</w:t>
        </w:r>
        <w:r>
          <w:rPr>
            <w:noProof/>
            <w:webHidden/>
          </w:rPr>
          <w:fldChar w:fldCharType="end"/>
        </w:r>
      </w:hyperlink>
    </w:p>
    <w:p w14:paraId="7A236D94" w14:textId="0448E728" w:rsidR="00BB0770" w:rsidRDefault="00BB0770" w:rsidP="00BB0770">
      <w:pPr>
        <w:pStyle w:val="TOC1"/>
        <w:tabs>
          <w:tab w:val="right" w:leader="dot" w:pos="9360"/>
        </w:tabs>
        <w:ind w:left="720" w:right="360" w:hanging="720"/>
        <w:jc w:val="both"/>
        <w:rPr>
          <w:rFonts w:asciiTheme="minorHAnsi" w:eastAsiaTheme="minorEastAsia" w:hAnsiTheme="minorHAnsi" w:cstheme="minorBidi"/>
          <w:noProof/>
          <w:kern w:val="2"/>
          <w:sz w:val="24"/>
          <w:szCs w:val="24"/>
          <w14:ligatures w14:val="standardContextual"/>
        </w:rPr>
      </w:pPr>
      <w:hyperlink w:anchor="_Toc225843475" w:history="1">
        <w:r w:rsidRPr="00323A0C">
          <w:rPr>
            <w:rStyle w:val="Hyperlink"/>
            <w:noProof/>
          </w:rPr>
          <w:t>3.0</w:t>
        </w:r>
        <w:r>
          <w:rPr>
            <w:rFonts w:asciiTheme="minorHAnsi" w:eastAsiaTheme="minorEastAsia" w:hAnsiTheme="minorHAnsi" w:cstheme="minorBidi"/>
            <w:noProof/>
            <w:kern w:val="2"/>
            <w:sz w:val="24"/>
            <w:szCs w:val="24"/>
            <w14:ligatures w14:val="standardContextual"/>
          </w:rPr>
          <w:tab/>
        </w:r>
        <w:r w:rsidRPr="00323A0C">
          <w:rPr>
            <w:rStyle w:val="Hyperlink"/>
            <w:noProof/>
          </w:rPr>
          <w:t>TIMING FO</w:t>
        </w:r>
        <w:bookmarkStart w:id="0" w:name="OpenAt"/>
        <w:bookmarkEnd w:id="0"/>
        <w:r w:rsidRPr="00323A0C">
          <w:rPr>
            <w:rStyle w:val="Hyperlink"/>
            <w:noProof/>
          </w:rPr>
          <w:t>R THE TRANSITION</w:t>
        </w:r>
        <w:r>
          <w:rPr>
            <w:noProof/>
            <w:webHidden/>
          </w:rPr>
          <w:tab/>
        </w:r>
        <w:r>
          <w:rPr>
            <w:noProof/>
            <w:webHidden/>
          </w:rPr>
          <w:fldChar w:fldCharType="begin"/>
        </w:r>
        <w:r>
          <w:rPr>
            <w:noProof/>
            <w:webHidden/>
          </w:rPr>
          <w:instrText xml:space="preserve"> PAGEREF _Toc225843475 \h </w:instrText>
        </w:r>
        <w:r>
          <w:rPr>
            <w:noProof/>
            <w:webHidden/>
          </w:rPr>
        </w:r>
        <w:r>
          <w:rPr>
            <w:noProof/>
            <w:webHidden/>
          </w:rPr>
          <w:fldChar w:fldCharType="separate"/>
        </w:r>
        <w:r w:rsidR="00A509B4">
          <w:rPr>
            <w:noProof/>
            <w:webHidden/>
          </w:rPr>
          <w:t>6</w:t>
        </w:r>
        <w:r>
          <w:rPr>
            <w:noProof/>
            <w:webHidden/>
          </w:rPr>
          <w:fldChar w:fldCharType="end"/>
        </w:r>
      </w:hyperlink>
    </w:p>
    <w:p w14:paraId="3C2FD295" w14:textId="531B19B0" w:rsidR="00BB0770" w:rsidRDefault="00BB0770" w:rsidP="00BB0770">
      <w:pPr>
        <w:pStyle w:val="TOC1"/>
        <w:tabs>
          <w:tab w:val="right" w:leader="dot" w:pos="9360"/>
        </w:tabs>
        <w:ind w:left="720" w:right="360" w:hanging="720"/>
        <w:jc w:val="both"/>
        <w:rPr>
          <w:rFonts w:asciiTheme="minorHAnsi" w:eastAsiaTheme="minorEastAsia" w:hAnsiTheme="minorHAnsi" w:cstheme="minorBidi"/>
          <w:noProof/>
          <w:kern w:val="2"/>
          <w:sz w:val="24"/>
          <w:szCs w:val="24"/>
          <w14:ligatures w14:val="standardContextual"/>
        </w:rPr>
      </w:pPr>
      <w:hyperlink w:anchor="_Toc225843476" w:history="1">
        <w:r w:rsidRPr="00323A0C">
          <w:rPr>
            <w:rStyle w:val="Hyperlink"/>
            <w:noProof/>
          </w:rPr>
          <w:t>4.0</w:t>
        </w:r>
        <w:r>
          <w:rPr>
            <w:rFonts w:asciiTheme="minorHAnsi" w:eastAsiaTheme="minorEastAsia" w:hAnsiTheme="minorHAnsi" w:cstheme="minorBidi"/>
            <w:noProof/>
            <w:kern w:val="2"/>
            <w:sz w:val="24"/>
            <w:szCs w:val="24"/>
            <w14:ligatures w14:val="standardContextual"/>
          </w:rPr>
          <w:tab/>
        </w:r>
        <w:r w:rsidRPr="00323A0C">
          <w:rPr>
            <w:rStyle w:val="Hyperlink"/>
            <w:noProof/>
          </w:rPr>
          <w:t>EXISTING 2500 MHZ DEPLOYMENT REQUIREMENTS</w:t>
        </w:r>
        <w:r>
          <w:rPr>
            <w:noProof/>
            <w:webHidden/>
          </w:rPr>
          <w:tab/>
        </w:r>
        <w:r>
          <w:rPr>
            <w:noProof/>
            <w:webHidden/>
          </w:rPr>
          <w:fldChar w:fldCharType="begin"/>
        </w:r>
        <w:r>
          <w:rPr>
            <w:noProof/>
            <w:webHidden/>
          </w:rPr>
          <w:instrText xml:space="preserve"> PAGEREF _Toc225843476 \h </w:instrText>
        </w:r>
        <w:r>
          <w:rPr>
            <w:noProof/>
            <w:webHidden/>
          </w:rPr>
        </w:r>
        <w:r>
          <w:rPr>
            <w:noProof/>
            <w:webHidden/>
          </w:rPr>
          <w:fldChar w:fldCharType="separate"/>
        </w:r>
        <w:r w:rsidR="00A509B4">
          <w:rPr>
            <w:noProof/>
            <w:webHidden/>
          </w:rPr>
          <w:t>8</w:t>
        </w:r>
        <w:r>
          <w:rPr>
            <w:noProof/>
            <w:webHidden/>
          </w:rPr>
          <w:fldChar w:fldCharType="end"/>
        </w:r>
      </w:hyperlink>
    </w:p>
    <w:p w14:paraId="11AE75E0" w14:textId="0589D77B" w:rsidR="00BB0770" w:rsidRDefault="00BB0770" w:rsidP="00BB0770">
      <w:pPr>
        <w:pStyle w:val="TOC1"/>
        <w:tabs>
          <w:tab w:val="right" w:leader="dot" w:pos="9360"/>
        </w:tabs>
        <w:ind w:left="720" w:right="360" w:hanging="720"/>
        <w:jc w:val="both"/>
        <w:rPr>
          <w:rFonts w:asciiTheme="minorHAnsi" w:eastAsiaTheme="minorEastAsia" w:hAnsiTheme="minorHAnsi" w:cstheme="minorBidi"/>
          <w:noProof/>
          <w:kern w:val="2"/>
          <w:sz w:val="24"/>
          <w:szCs w:val="24"/>
          <w14:ligatures w14:val="standardContextual"/>
        </w:rPr>
      </w:pPr>
      <w:hyperlink w:anchor="_Toc225843477" w:history="1">
        <w:r w:rsidRPr="00323A0C">
          <w:rPr>
            <w:rStyle w:val="Hyperlink"/>
            <w:noProof/>
          </w:rPr>
          <w:t>5.0</w:t>
        </w:r>
        <w:r>
          <w:rPr>
            <w:rFonts w:asciiTheme="minorHAnsi" w:eastAsiaTheme="minorEastAsia" w:hAnsiTheme="minorHAnsi" w:cstheme="minorBidi"/>
            <w:noProof/>
            <w:kern w:val="2"/>
            <w:sz w:val="24"/>
            <w:szCs w:val="24"/>
            <w14:ligatures w14:val="standardContextual"/>
          </w:rPr>
          <w:tab/>
        </w:r>
        <w:r w:rsidRPr="00323A0C">
          <w:rPr>
            <w:rStyle w:val="Hyperlink"/>
            <w:noProof/>
          </w:rPr>
          <w:t>TRANSITION PLAN IMPLEMENTATION</w:t>
        </w:r>
        <w:r>
          <w:rPr>
            <w:noProof/>
            <w:webHidden/>
          </w:rPr>
          <w:tab/>
        </w:r>
        <w:r>
          <w:rPr>
            <w:noProof/>
            <w:webHidden/>
          </w:rPr>
          <w:fldChar w:fldCharType="begin"/>
        </w:r>
        <w:r>
          <w:rPr>
            <w:noProof/>
            <w:webHidden/>
          </w:rPr>
          <w:instrText xml:space="preserve"> PAGEREF _Toc225843477 \h </w:instrText>
        </w:r>
        <w:r>
          <w:rPr>
            <w:noProof/>
            <w:webHidden/>
          </w:rPr>
        </w:r>
        <w:r>
          <w:rPr>
            <w:noProof/>
            <w:webHidden/>
          </w:rPr>
          <w:fldChar w:fldCharType="separate"/>
        </w:r>
        <w:r w:rsidR="00A509B4">
          <w:rPr>
            <w:noProof/>
            <w:webHidden/>
          </w:rPr>
          <w:t>9</w:t>
        </w:r>
        <w:r>
          <w:rPr>
            <w:noProof/>
            <w:webHidden/>
          </w:rPr>
          <w:fldChar w:fldCharType="end"/>
        </w:r>
      </w:hyperlink>
    </w:p>
    <w:p w14:paraId="1640C815" w14:textId="6CECBA62" w:rsidR="00AA324E" w:rsidRDefault="00366057" w:rsidP="00BB0770">
      <w:pPr>
        <w:tabs>
          <w:tab w:val="clear" w:pos="720"/>
          <w:tab w:val="right" w:leader="dot" w:pos="9360"/>
        </w:tabs>
        <w:ind w:left="720" w:right="360" w:hanging="720"/>
        <w:jc w:val="both"/>
        <w:rPr>
          <w:rFonts w:cs="Arial"/>
          <w:szCs w:val="22"/>
        </w:rPr>
      </w:pPr>
      <w:r>
        <w:rPr>
          <w:rFonts w:cs="Arial"/>
          <w:szCs w:val="22"/>
        </w:rPr>
        <w:fldChar w:fldCharType="end"/>
      </w:r>
    </w:p>
    <w:p w14:paraId="4E488AB2" w14:textId="77777777" w:rsidR="00AA324E" w:rsidRDefault="00AA324E" w:rsidP="00AA324E">
      <w:pPr>
        <w:rPr>
          <w:rFonts w:cs="Arial"/>
          <w:szCs w:val="22"/>
        </w:rPr>
      </w:pPr>
    </w:p>
    <w:p w14:paraId="4FFDA9ED" w14:textId="77777777" w:rsidR="00AA324E" w:rsidRPr="002E78BE" w:rsidRDefault="00AA324E" w:rsidP="00AA324E">
      <w:pPr>
        <w:rPr>
          <w:rFonts w:cs="Arial"/>
          <w:szCs w:val="22"/>
        </w:rPr>
      </w:pPr>
    </w:p>
    <w:p w14:paraId="516CCC14" w14:textId="77777777" w:rsidR="00AA324E" w:rsidRDefault="00AA324E" w:rsidP="00AA324E">
      <w:pPr>
        <w:rPr>
          <w:rFonts w:cs="Arial"/>
          <w:b/>
          <w:bCs/>
          <w:szCs w:val="22"/>
          <w:u w:val="single"/>
        </w:rPr>
        <w:sectPr w:rsidR="00AA324E" w:rsidSect="009856E8">
          <w:pgSz w:w="12240" w:h="15840" w:code="1"/>
          <w:pgMar w:top="1080" w:right="1440" w:bottom="1080" w:left="1440" w:header="720" w:footer="720" w:gutter="0"/>
          <w:cols w:space="708"/>
          <w:titlePg/>
          <w:docGrid w:linePitch="360"/>
        </w:sectPr>
      </w:pPr>
    </w:p>
    <w:p w14:paraId="55DDF315" w14:textId="77777777" w:rsidR="00AA324E" w:rsidRPr="00C94D91" w:rsidRDefault="00AA324E" w:rsidP="00AA324E">
      <w:pPr>
        <w:pStyle w:val="Heading1"/>
      </w:pPr>
      <w:bookmarkStart w:id="1" w:name="_Toc151364813"/>
      <w:bookmarkStart w:id="2" w:name="_Toc151364867"/>
      <w:bookmarkStart w:id="3" w:name="_Toc225843473"/>
      <w:r w:rsidRPr="00C94D91">
        <w:lastRenderedPageBreak/>
        <w:t>INTRODUCTION</w:t>
      </w:r>
      <w:bookmarkEnd w:id="1"/>
      <w:bookmarkEnd w:id="2"/>
      <w:bookmarkEnd w:id="3"/>
    </w:p>
    <w:p w14:paraId="3EC341F9" w14:textId="77777777" w:rsidR="00AA324E" w:rsidRDefault="00AA324E" w:rsidP="00AA324E">
      <w:pPr>
        <w:spacing w:line="360" w:lineRule="auto"/>
        <w:jc w:val="both"/>
        <w:rPr>
          <w:rFonts w:cs="Arial"/>
          <w:szCs w:val="22"/>
        </w:rPr>
      </w:pPr>
    </w:p>
    <w:p w14:paraId="079AF892" w14:textId="1241E80F" w:rsidR="00866846" w:rsidRPr="00D94E50" w:rsidRDefault="00866846" w:rsidP="00866846">
      <w:pPr>
        <w:widowControl/>
        <w:numPr>
          <w:ilvl w:val="0"/>
          <w:numId w:val="1"/>
        </w:numPr>
        <w:spacing w:line="360" w:lineRule="auto"/>
        <w:jc w:val="both"/>
        <w:rPr>
          <w:rFonts w:cs="Arial"/>
          <w:szCs w:val="22"/>
        </w:rPr>
      </w:pPr>
      <w:r w:rsidRPr="00D94E50">
        <w:rPr>
          <w:rFonts w:cs="Arial"/>
          <w:szCs w:val="22"/>
        </w:rPr>
        <w:t xml:space="preserve">These Comments are provided in accordance with the procedure set out by Innovation, Science and Economic Development Canada (ISED) in Notice No. SPB-002-26, </w:t>
      </w:r>
      <w:r w:rsidRPr="00D94E50">
        <w:rPr>
          <w:rFonts w:cs="Arial"/>
          <w:i/>
          <w:iCs/>
          <w:szCs w:val="22"/>
        </w:rPr>
        <w:t>Consultation on Revisions to the 2500-2690 MHz Band Plan</w:t>
      </w:r>
      <w:r w:rsidR="00C72C25">
        <w:rPr>
          <w:rStyle w:val="FootnoteReference"/>
          <w:rFonts w:cs="Arial"/>
          <w:szCs w:val="22"/>
        </w:rPr>
        <w:footnoteReference w:id="1"/>
      </w:r>
      <w:r w:rsidR="009C4959">
        <w:rPr>
          <w:rFonts w:cs="Arial"/>
          <w:szCs w:val="22"/>
        </w:rPr>
        <w:t xml:space="preserve"> </w:t>
      </w:r>
      <w:r w:rsidRPr="00D94E50">
        <w:rPr>
          <w:rFonts w:cs="Arial"/>
          <w:szCs w:val="22"/>
        </w:rPr>
        <w:t>(The Consultation)</w:t>
      </w:r>
      <w:r w:rsidRPr="00D94E50">
        <w:rPr>
          <w:rFonts w:cs="Arial"/>
          <w:i/>
          <w:iCs/>
          <w:szCs w:val="22"/>
        </w:rPr>
        <w:t xml:space="preserve">. </w:t>
      </w:r>
    </w:p>
    <w:p w14:paraId="5F3EBAD3" w14:textId="77777777" w:rsidR="00866846" w:rsidRPr="00D94E50" w:rsidRDefault="00866846" w:rsidP="00866846">
      <w:pPr>
        <w:widowControl/>
        <w:spacing w:line="360" w:lineRule="auto"/>
        <w:jc w:val="both"/>
        <w:rPr>
          <w:rFonts w:cs="Arial"/>
          <w:szCs w:val="22"/>
        </w:rPr>
      </w:pPr>
    </w:p>
    <w:p w14:paraId="04921CED" w14:textId="282A6D67" w:rsidR="00866846" w:rsidRPr="00D94E50" w:rsidRDefault="00866846" w:rsidP="00866846">
      <w:pPr>
        <w:widowControl/>
        <w:numPr>
          <w:ilvl w:val="0"/>
          <w:numId w:val="1"/>
        </w:numPr>
        <w:spacing w:line="360" w:lineRule="auto"/>
        <w:jc w:val="both"/>
        <w:rPr>
          <w:rFonts w:cs="Arial"/>
          <w:szCs w:val="22"/>
        </w:rPr>
      </w:pPr>
      <w:r w:rsidRPr="00D94E50">
        <w:rPr>
          <w:rFonts w:cs="Arial"/>
          <w:szCs w:val="22"/>
        </w:rPr>
        <w:t>We support ISED</w:t>
      </w:r>
      <w:r>
        <w:rPr>
          <w:rFonts w:cs="Arial"/>
          <w:szCs w:val="22"/>
        </w:rPr>
        <w:t>'</w:t>
      </w:r>
      <w:r w:rsidRPr="00D94E50">
        <w:rPr>
          <w:rFonts w:cs="Arial"/>
          <w:szCs w:val="22"/>
        </w:rPr>
        <w:t>s proposal to transition the 2500 MHz spectrum band to an unpaired Time Division Duplex (TDD) Band 41 configuration.</w:t>
      </w:r>
      <w:r w:rsidR="00597B97">
        <w:rPr>
          <w:rFonts w:cs="Arial"/>
          <w:szCs w:val="22"/>
        </w:rPr>
        <w:t xml:space="preserve"> </w:t>
      </w:r>
      <w:r w:rsidRPr="00D94E50">
        <w:rPr>
          <w:rFonts w:cs="Arial"/>
          <w:szCs w:val="22"/>
        </w:rPr>
        <w:t xml:space="preserve"> Adopting a TDD configuration will align Canada</w:t>
      </w:r>
      <w:r>
        <w:rPr>
          <w:rFonts w:cs="Arial"/>
          <w:szCs w:val="22"/>
        </w:rPr>
        <w:t>'</w:t>
      </w:r>
      <w:r w:rsidRPr="00D94E50">
        <w:rPr>
          <w:rFonts w:cs="Arial"/>
          <w:szCs w:val="22"/>
        </w:rPr>
        <w:t>s 2500 MHZ spectrum band plan with that of the US, which will resolve cross-border interference and allow for more efficient spectrum utilization.</w:t>
      </w:r>
      <w:r w:rsidR="00597B97">
        <w:rPr>
          <w:rFonts w:cs="Arial"/>
          <w:szCs w:val="22"/>
        </w:rPr>
        <w:t xml:space="preserve"> </w:t>
      </w:r>
      <w:r w:rsidRPr="00D94E50">
        <w:rPr>
          <w:rFonts w:cs="Arial"/>
          <w:szCs w:val="22"/>
        </w:rPr>
        <w:t xml:space="preserve"> However, the transition must be carefully managed to account for the significant investments existing 2500 MHz spectrum licensees have made in Band 7 infrastructure. </w:t>
      </w:r>
      <w:r w:rsidR="00597B97">
        <w:rPr>
          <w:rFonts w:cs="Arial"/>
          <w:szCs w:val="22"/>
        </w:rPr>
        <w:t xml:space="preserve"> </w:t>
      </w:r>
      <w:r w:rsidRPr="00D94E50">
        <w:rPr>
          <w:rFonts w:cs="Arial"/>
          <w:szCs w:val="22"/>
        </w:rPr>
        <w:t>We recommend a phased-in, market-by-market transition plan developed through mutual agreement among existing licensees with deployment requirements adjusted to avoid unnecessary investment in technology that is being phased out.</w:t>
      </w:r>
    </w:p>
    <w:p w14:paraId="746C75A1" w14:textId="77777777" w:rsidR="00866846" w:rsidRPr="00D94E50" w:rsidRDefault="00866846" w:rsidP="00866846">
      <w:pPr>
        <w:spacing w:line="360" w:lineRule="auto"/>
        <w:jc w:val="both"/>
        <w:rPr>
          <w:rFonts w:cs="Arial"/>
          <w:szCs w:val="22"/>
        </w:rPr>
      </w:pPr>
    </w:p>
    <w:p w14:paraId="7FE990E7" w14:textId="19001347" w:rsidR="00866846" w:rsidRPr="00D94E50" w:rsidRDefault="00866846" w:rsidP="00866846">
      <w:pPr>
        <w:widowControl/>
        <w:numPr>
          <w:ilvl w:val="0"/>
          <w:numId w:val="1"/>
        </w:numPr>
        <w:spacing w:line="360" w:lineRule="auto"/>
        <w:jc w:val="both"/>
        <w:rPr>
          <w:rFonts w:cs="Arial"/>
          <w:szCs w:val="22"/>
        </w:rPr>
      </w:pPr>
      <w:r w:rsidRPr="00D94E50">
        <w:rPr>
          <w:rFonts w:cs="Arial"/>
          <w:szCs w:val="22"/>
        </w:rPr>
        <w:t xml:space="preserve">The transition process must be structured over a sufficiently long timeframe to allow licensees to incorporate the necessary </w:t>
      </w:r>
      <w:r w:rsidR="00FE1F64">
        <w:rPr>
          <w:rFonts w:cs="Arial"/>
          <w:szCs w:val="22"/>
        </w:rPr>
        <w:t>equipment</w:t>
      </w:r>
      <w:r w:rsidR="00FE1F64" w:rsidRPr="00D94E50">
        <w:rPr>
          <w:rFonts w:cs="Arial"/>
          <w:szCs w:val="22"/>
        </w:rPr>
        <w:t xml:space="preserve"> </w:t>
      </w:r>
      <w:r w:rsidRPr="00D94E50">
        <w:rPr>
          <w:rFonts w:cs="Arial"/>
          <w:szCs w:val="22"/>
        </w:rPr>
        <w:t>replacements into their regular network refresh cycles.</w:t>
      </w:r>
      <w:r w:rsidR="00597B97">
        <w:rPr>
          <w:rFonts w:cs="Arial"/>
          <w:szCs w:val="22"/>
        </w:rPr>
        <w:t xml:space="preserve"> </w:t>
      </w:r>
      <w:r w:rsidRPr="00D94E50">
        <w:rPr>
          <w:rFonts w:cs="Arial"/>
          <w:szCs w:val="22"/>
        </w:rPr>
        <w:t xml:space="preserve"> Aligning the transition with planned capital investment programs, rather than requiring accelerated or out-of-cycle capital expenditure, will reduce the financial burden on </w:t>
      </w:r>
      <w:r w:rsidR="00050297">
        <w:rPr>
          <w:rFonts w:cs="Arial"/>
          <w:szCs w:val="22"/>
        </w:rPr>
        <w:t xml:space="preserve">mobile network </w:t>
      </w:r>
      <w:r w:rsidRPr="00D94E50">
        <w:rPr>
          <w:rFonts w:cs="Arial"/>
          <w:szCs w:val="22"/>
        </w:rPr>
        <w:t>operators and support continued investment in network quality and coverage for Canadians.</w:t>
      </w:r>
      <w:r w:rsidR="00597B97">
        <w:rPr>
          <w:rFonts w:cs="Arial"/>
          <w:szCs w:val="22"/>
        </w:rPr>
        <w:t xml:space="preserve"> </w:t>
      </w:r>
      <w:r w:rsidRPr="00D94E50">
        <w:rPr>
          <w:rFonts w:cs="Arial"/>
          <w:szCs w:val="22"/>
        </w:rPr>
        <w:t xml:space="preserve"> A</w:t>
      </w:r>
      <w:r w:rsidR="003539B9">
        <w:rPr>
          <w:rFonts w:cs="Arial"/>
          <w:szCs w:val="22"/>
        </w:rPr>
        <w:t> </w:t>
      </w:r>
      <w:r w:rsidRPr="00D94E50">
        <w:rPr>
          <w:rFonts w:cs="Arial"/>
          <w:szCs w:val="22"/>
        </w:rPr>
        <w:t>phased</w:t>
      </w:r>
      <w:r w:rsidR="00050297">
        <w:rPr>
          <w:rFonts w:cs="Arial"/>
          <w:szCs w:val="22"/>
        </w:rPr>
        <w:t>-in</w:t>
      </w:r>
      <w:r w:rsidRPr="00D94E50">
        <w:rPr>
          <w:rFonts w:cs="Arial"/>
          <w:szCs w:val="22"/>
        </w:rPr>
        <w:t xml:space="preserve"> geographic transition, is essential not only to manage interference during the transition period but also to distribute the capital and operational burden over time, thus avoiding undue pressure on mobile network operators</w:t>
      </w:r>
      <w:r>
        <w:rPr>
          <w:rFonts w:cs="Arial"/>
          <w:szCs w:val="22"/>
        </w:rPr>
        <w:t>'</w:t>
      </w:r>
      <w:r w:rsidRPr="00D94E50">
        <w:rPr>
          <w:rFonts w:cs="Arial"/>
          <w:szCs w:val="22"/>
        </w:rPr>
        <w:t xml:space="preserve"> capital expenditure budgets and technical resources. </w:t>
      </w:r>
      <w:r w:rsidR="00597B97">
        <w:rPr>
          <w:rFonts w:cs="Arial"/>
          <w:szCs w:val="22"/>
        </w:rPr>
        <w:t xml:space="preserve"> </w:t>
      </w:r>
      <w:r w:rsidRPr="00D94E50">
        <w:rPr>
          <w:rFonts w:cs="Arial"/>
          <w:szCs w:val="22"/>
        </w:rPr>
        <w:t>This will allow for</w:t>
      </w:r>
      <w:r w:rsidR="00050297">
        <w:rPr>
          <w:rFonts w:cs="Arial"/>
          <w:szCs w:val="22"/>
        </w:rPr>
        <w:t xml:space="preserve"> the</w:t>
      </w:r>
      <w:r w:rsidRPr="00D94E50">
        <w:rPr>
          <w:rFonts w:cs="Arial"/>
          <w:szCs w:val="22"/>
        </w:rPr>
        <w:t xml:space="preserve"> orderly procurement and deployment of Band 41 </w:t>
      </w:r>
      <w:r w:rsidR="00050297">
        <w:rPr>
          <w:rFonts w:cs="Arial"/>
          <w:szCs w:val="22"/>
        </w:rPr>
        <w:t>equipment</w:t>
      </w:r>
      <w:r w:rsidRPr="00D94E50">
        <w:rPr>
          <w:rFonts w:cs="Arial"/>
          <w:szCs w:val="22"/>
        </w:rPr>
        <w:t>.</w:t>
      </w:r>
    </w:p>
    <w:p w14:paraId="3E68F204" w14:textId="77777777" w:rsidR="00866846" w:rsidRPr="00D94E50" w:rsidRDefault="00866846" w:rsidP="00866846">
      <w:pPr>
        <w:spacing w:line="360" w:lineRule="auto"/>
        <w:jc w:val="both"/>
        <w:rPr>
          <w:rFonts w:cs="Arial"/>
          <w:szCs w:val="22"/>
        </w:rPr>
      </w:pPr>
    </w:p>
    <w:p w14:paraId="5B196648" w14:textId="6160FCED" w:rsidR="00866846" w:rsidRPr="00D94E50" w:rsidRDefault="00866846" w:rsidP="00866846">
      <w:pPr>
        <w:widowControl/>
        <w:numPr>
          <w:ilvl w:val="0"/>
          <w:numId w:val="1"/>
        </w:numPr>
        <w:spacing w:line="360" w:lineRule="auto"/>
        <w:jc w:val="both"/>
        <w:rPr>
          <w:rFonts w:cs="Arial"/>
          <w:szCs w:val="22"/>
        </w:rPr>
      </w:pPr>
      <w:r w:rsidRPr="00D94E50">
        <w:rPr>
          <w:rFonts w:cs="Arial"/>
          <w:szCs w:val="22"/>
        </w:rPr>
        <w:t>Based on preliminary discussions with other mobile network operators, we recommend a phased-in transition approach, with Canada divided into three zones</w:t>
      </w:r>
      <w:r w:rsidR="00D12B48">
        <w:rPr>
          <w:rFonts w:cs="Arial"/>
          <w:szCs w:val="22"/>
        </w:rPr>
        <w:t xml:space="preserve"> with staggered transition deadlines</w:t>
      </w:r>
      <w:r w:rsidRPr="00D94E50">
        <w:rPr>
          <w:rFonts w:cs="Arial"/>
          <w:szCs w:val="22"/>
        </w:rPr>
        <w:t xml:space="preserve">. </w:t>
      </w:r>
      <w:r w:rsidR="00597B97">
        <w:rPr>
          <w:rFonts w:cs="Arial"/>
          <w:szCs w:val="22"/>
        </w:rPr>
        <w:t xml:space="preserve"> </w:t>
      </w:r>
      <w:r w:rsidRPr="00D94E50">
        <w:rPr>
          <w:rFonts w:cs="Arial"/>
          <w:szCs w:val="22"/>
        </w:rPr>
        <w:t>For example, the initial transition would occur generally in Ontario and Quebec, followed by Atlantic Canada, Manitoba, Saskatchewan, Alberta</w:t>
      </w:r>
      <w:r w:rsidR="00597B97">
        <w:rPr>
          <w:rFonts w:cs="Arial"/>
          <w:szCs w:val="22"/>
        </w:rPr>
        <w:t>,</w:t>
      </w:r>
      <w:r w:rsidRPr="00D94E50">
        <w:rPr>
          <w:rFonts w:cs="Arial"/>
          <w:szCs w:val="22"/>
        </w:rPr>
        <w:t xml:space="preserve"> and British Columbia a few years later and then finally, Yukon, Northwest Territories and Nunavut approximately a year after that. </w:t>
      </w:r>
      <w:r w:rsidR="00597B97">
        <w:rPr>
          <w:rFonts w:cs="Arial"/>
          <w:szCs w:val="22"/>
        </w:rPr>
        <w:t xml:space="preserve"> </w:t>
      </w:r>
      <w:r w:rsidRPr="00D94E50">
        <w:rPr>
          <w:rFonts w:cs="Arial"/>
          <w:szCs w:val="22"/>
        </w:rPr>
        <w:t xml:space="preserve">The exact details and timing will be determined through stakeholder discussions over the next couple of years, but preliminary views suggest an initial transition deadline </w:t>
      </w:r>
      <w:r w:rsidR="008623ED">
        <w:rPr>
          <w:rFonts w:cs="Arial"/>
          <w:szCs w:val="22"/>
        </w:rPr>
        <w:t xml:space="preserve">for Ontario and </w:t>
      </w:r>
      <w:r w:rsidR="008623ED">
        <w:rPr>
          <w:rFonts w:cs="Arial"/>
          <w:szCs w:val="22"/>
        </w:rPr>
        <w:lastRenderedPageBreak/>
        <w:t xml:space="preserve">Quebec </w:t>
      </w:r>
      <w:r w:rsidRPr="00D94E50">
        <w:rPr>
          <w:rFonts w:cs="Arial"/>
          <w:szCs w:val="22"/>
        </w:rPr>
        <w:t>around 2033</w:t>
      </w:r>
      <w:r w:rsidR="008623ED">
        <w:rPr>
          <w:rFonts w:cs="Arial"/>
          <w:szCs w:val="22"/>
        </w:rPr>
        <w:t xml:space="preserve">, with transition deadlines </w:t>
      </w:r>
      <w:r w:rsidR="002D2A71">
        <w:rPr>
          <w:rFonts w:cs="Arial"/>
          <w:szCs w:val="22"/>
        </w:rPr>
        <w:t>for</w:t>
      </w:r>
      <w:r w:rsidR="008623ED">
        <w:rPr>
          <w:rFonts w:cs="Arial"/>
          <w:szCs w:val="22"/>
        </w:rPr>
        <w:t xml:space="preserve"> the remaining zones occurring a few years later</w:t>
      </w:r>
      <w:r w:rsidRPr="00D94E50">
        <w:rPr>
          <w:rFonts w:cs="Arial"/>
          <w:szCs w:val="22"/>
        </w:rPr>
        <w:t>.</w:t>
      </w:r>
    </w:p>
    <w:p w14:paraId="7875C865" w14:textId="77777777" w:rsidR="00866846" w:rsidRPr="00D94E50" w:rsidRDefault="00866846" w:rsidP="00866846">
      <w:pPr>
        <w:spacing w:line="360" w:lineRule="auto"/>
        <w:jc w:val="both"/>
        <w:rPr>
          <w:rFonts w:cs="Arial"/>
          <w:szCs w:val="22"/>
        </w:rPr>
      </w:pPr>
    </w:p>
    <w:p w14:paraId="5995CEA4" w14:textId="3E59CE48" w:rsidR="00866846" w:rsidRDefault="00866846" w:rsidP="00866846">
      <w:pPr>
        <w:widowControl/>
        <w:numPr>
          <w:ilvl w:val="0"/>
          <w:numId w:val="1"/>
        </w:numPr>
        <w:spacing w:line="360" w:lineRule="auto"/>
        <w:jc w:val="both"/>
        <w:rPr>
          <w:rFonts w:cs="Arial"/>
          <w:szCs w:val="22"/>
        </w:rPr>
      </w:pPr>
      <w:r w:rsidRPr="00D94E50">
        <w:rPr>
          <w:rFonts w:cs="Arial"/>
          <w:szCs w:val="22"/>
        </w:rPr>
        <w:t xml:space="preserve">We are confident that the existing 2500 MHz spectrum licensees can work together to plan the transition and implement it through mutual agreement. </w:t>
      </w:r>
      <w:r w:rsidR="00597B97">
        <w:rPr>
          <w:rFonts w:cs="Arial"/>
          <w:szCs w:val="22"/>
        </w:rPr>
        <w:t xml:space="preserve"> </w:t>
      </w:r>
      <w:r w:rsidRPr="00D94E50">
        <w:rPr>
          <w:rFonts w:cs="Arial"/>
          <w:szCs w:val="22"/>
        </w:rPr>
        <w:t xml:space="preserve">This is the best outcome for all </w:t>
      </w:r>
      <w:r w:rsidR="0031365A">
        <w:rPr>
          <w:rFonts w:cs="Arial"/>
          <w:szCs w:val="22"/>
        </w:rPr>
        <w:t>stakeholders</w:t>
      </w:r>
      <w:r w:rsidRPr="00D94E50">
        <w:rPr>
          <w:rFonts w:cs="Arial"/>
          <w:szCs w:val="22"/>
        </w:rPr>
        <w:t xml:space="preserve">, including Canadians, as the </w:t>
      </w:r>
      <w:r w:rsidR="0031365A">
        <w:rPr>
          <w:rFonts w:cs="Arial"/>
          <w:szCs w:val="22"/>
        </w:rPr>
        <w:t xml:space="preserve">spectrum </w:t>
      </w:r>
      <w:r w:rsidRPr="00D94E50">
        <w:rPr>
          <w:rFonts w:cs="Arial"/>
          <w:szCs w:val="22"/>
        </w:rPr>
        <w:t xml:space="preserve">band will be transitioned with minimal disruption and </w:t>
      </w:r>
      <w:r w:rsidR="000B23C9">
        <w:rPr>
          <w:rFonts w:cs="Arial"/>
          <w:szCs w:val="22"/>
        </w:rPr>
        <w:t>will</w:t>
      </w:r>
      <w:r w:rsidR="000B23C9" w:rsidRPr="00D94E50">
        <w:rPr>
          <w:rFonts w:cs="Arial"/>
          <w:szCs w:val="22"/>
        </w:rPr>
        <w:t xml:space="preserve"> </w:t>
      </w:r>
      <w:r w:rsidRPr="00D94E50">
        <w:rPr>
          <w:rFonts w:cs="Arial"/>
          <w:szCs w:val="22"/>
        </w:rPr>
        <w:t xml:space="preserve">maximize </w:t>
      </w:r>
      <w:r w:rsidR="000B23C9">
        <w:rPr>
          <w:rFonts w:cs="Arial"/>
          <w:szCs w:val="22"/>
        </w:rPr>
        <w:t xml:space="preserve">the </w:t>
      </w:r>
      <w:r w:rsidRPr="00D94E50">
        <w:rPr>
          <w:rFonts w:cs="Arial"/>
          <w:szCs w:val="22"/>
        </w:rPr>
        <w:t xml:space="preserve">continued use of </w:t>
      </w:r>
      <w:r w:rsidR="000B23C9">
        <w:rPr>
          <w:rFonts w:cs="Arial"/>
          <w:szCs w:val="22"/>
        </w:rPr>
        <w:t xml:space="preserve">2500 MHz </w:t>
      </w:r>
      <w:r w:rsidRPr="00D94E50">
        <w:rPr>
          <w:rFonts w:cs="Arial"/>
          <w:szCs w:val="22"/>
        </w:rPr>
        <w:t>spectrum to ensure that Canadians continue to receive the best possible wireless services throughout the transition period and beyond.</w:t>
      </w:r>
    </w:p>
    <w:p w14:paraId="3151A5B6" w14:textId="77777777" w:rsidR="00866846" w:rsidRDefault="00866846" w:rsidP="00866846">
      <w:pPr>
        <w:widowControl/>
        <w:tabs>
          <w:tab w:val="clear" w:pos="720"/>
        </w:tabs>
        <w:spacing w:line="360" w:lineRule="auto"/>
        <w:jc w:val="both"/>
        <w:rPr>
          <w:rFonts w:cs="Arial"/>
          <w:szCs w:val="22"/>
        </w:rPr>
      </w:pPr>
    </w:p>
    <w:p w14:paraId="770EE000" w14:textId="77777777" w:rsidR="00866846" w:rsidRPr="00866846" w:rsidRDefault="00866846" w:rsidP="00866846">
      <w:pPr>
        <w:pStyle w:val="Heading1"/>
      </w:pPr>
      <w:bookmarkStart w:id="4" w:name="_Toc225843474"/>
      <w:r w:rsidRPr="00866846">
        <w:t>NEW 2500 MHZ TDD BAND PLAN</w:t>
      </w:r>
      <w:bookmarkEnd w:id="4"/>
    </w:p>
    <w:p w14:paraId="061CC8C6" w14:textId="77777777" w:rsidR="00866846" w:rsidRDefault="00866846" w:rsidP="00866846">
      <w:pPr>
        <w:widowControl/>
        <w:tabs>
          <w:tab w:val="clear" w:pos="720"/>
        </w:tabs>
        <w:spacing w:line="360" w:lineRule="auto"/>
        <w:jc w:val="both"/>
        <w:rPr>
          <w:rFonts w:cs="Arial"/>
          <w:szCs w:val="22"/>
        </w:rPr>
      </w:pPr>
    </w:p>
    <w:p w14:paraId="0712D471" w14:textId="77777777" w:rsidR="00866846" w:rsidRPr="00866846" w:rsidRDefault="00866846" w:rsidP="00866846">
      <w:pPr>
        <w:ind w:left="709" w:hanging="709"/>
        <w:jc w:val="both"/>
        <w:rPr>
          <w:rFonts w:cs="Arial"/>
          <w:b/>
          <w:bCs/>
          <w:iCs/>
          <w:szCs w:val="22"/>
        </w:rPr>
      </w:pPr>
      <w:r w:rsidRPr="00866846">
        <w:rPr>
          <w:rFonts w:cs="Arial"/>
          <w:b/>
          <w:bCs/>
          <w:iCs/>
          <w:szCs w:val="22"/>
        </w:rPr>
        <w:t>Q1.</w:t>
      </w:r>
      <w:r w:rsidRPr="00866846">
        <w:rPr>
          <w:rFonts w:cs="Arial"/>
          <w:b/>
          <w:bCs/>
          <w:iCs/>
          <w:szCs w:val="22"/>
        </w:rPr>
        <w:tab/>
        <w:t>ISED is seeking comments on its proposal to revise the band plan to an unpaired band plan in 2500-2690 MHz.</w:t>
      </w:r>
    </w:p>
    <w:p w14:paraId="05832D7C" w14:textId="77777777" w:rsidR="00866846" w:rsidRPr="00D94E50" w:rsidRDefault="00866846" w:rsidP="00866846">
      <w:pPr>
        <w:widowControl/>
        <w:tabs>
          <w:tab w:val="clear" w:pos="720"/>
        </w:tabs>
        <w:spacing w:line="360" w:lineRule="auto"/>
        <w:jc w:val="both"/>
        <w:rPr>
          <w:rFonts w:cs="Arial"/>
          <w:szCs w:val="22"/>
        </w:rPr>
      </w:pPr>
    </w:p>
    <w:p w14:paraId="69A3E6AF" w14:textId="4B976A55" w:rsidR="00866846" w:rsidRPr="00D94E50" w:rsidRDefault="00866846" w:rsidP="00866846">
      <w:pPr>
        <w:widowControl/>
        <w:numPr>
          <w:ilvl w:val="0"/>
          <w:numId w:val="1"/>
        </w:numPr>
        <w:spacing w:line="360" w:lineRule="auto"/>
        <w:jc w:val="both"/>
        <w:rPr>
          <w:rFonts w:cs="Arial"/>
          <w:szCs w:val="22"/>
        </w:rPr>
      </w:pPr>
      <w:r w:rsidRPr="00D94E50">
        <w:rPr>
          <w:rFonts w:cs="Arial"/>
          <w:szCs w:val="22"/>
        </w:rPr>
        <w:t>We support ISED</w:t>
      </w:r>
      <w:r>
        <w:rPr>
          <w:rFonts w:cs="Arial"/>
          <w:szCs w:val="22"/>
        </w:rPr>
        <w:t>'</w:t>
      </w:r>
      <w:r w:rsidRPr="00D94E50">
        <w:rPr>
          <w:rFonts w:cs="Arial"/>
          <w:szCs w:val="22"/>
        </w:rPr>
        <w:t xml:space="preserve">s proposal to revise the 2500 MHz spectrum band plan to an unpaired TDD configuration. </w:t>
      </w:r>
      <w:r w:rsidR="00597B97">
        <w:rPr>
          <w:rFonts w:cs="Arial"/>
          <w:szCs w:val="22"/>
        </w:rPr>
        <w:t xml:space="preserve"> </w:t>
      </w:r>
      <w:r w:rsidRPr="00D94E50">
        <w:rPr>
          <w:rFonts w:cs="Arial"/>
          <w:szCs w:val="22"/>
        </w:rPr>
        <w:t xml:space="preserve">The transition to a TDD-only band plan will enable more efficient use of the 2500 MHz spectrum band. </w:t>
      </w:r>
      <w:r w:rsidR="00597B97">
        <w:rPr>
          <w:rFonts w:cs="Arial"/>
          <w:szCs w:val="22"/>
        </w:rPr>
        <w:t xml:space="preserve"> </w:t>
      </w:r>
      <w:r w:rsidRPr="00D94E50">
        <w:rPr>
          <w:rFonts w:cs="Arial"/>
          <w:szCs w:val="22"/>
        </w:rPr>
        <w:t xml:space="preserve">Unlike </w:t>
      </w:r>
      <w:r w:rsidR="00327A9E" w:rsidRPr="00327A9E">
        <w:rPr>
          <w:rFonts w:cs="Arial"/>
          <w:szCs w:val="22"/>
        </w:rPr>
        <w:t xml:space="preserve">Frequency Division Duplexing </w:t>
      </w:r>
      <w:r w:rsidR="00327A9E">
        <w:rPr>
          <w:rFonts w:cs="Arial"/>
          <w:szCs w:val="22"/>
        </w:rPr>
        <w:t>(</w:t>
      </w:r>
      <w:r w:rsidRPr="00D94E50">
        <w:rPr>
          <w:rFonts w:cs="Arial"/>
          <w:szCs w:val="22"/>
        </w:rPr>
        <w:t>FDD</w:t>
      </w:r>
      <w:r w:rsidR="00327A9E">
        <w:rPr>
          <w:rFonts w:cs="Arial"/>
          <w:szCs w:val="22"/>
        </w:rPr>
        <w:t>)</w:t>
      </w:r>
      <w:r w:rsidRPr="00D94E50">
        <w:rPr>
          <w:rFonts w:cs="Arial"/>
          <w:szCs w:val="22"/>
        </w:rPr>
        <w:t xml:space="preserve">, where dedicated frequency blocks are permanently allocated to uplink and downlink transmissions regardless of actual traffic demand, TDD uses a single frequency and allocates timeslots to uplink and downlink transmissions according to real-time network needs. </w:t>
      </w:r>
      <w:r w:rsidR="00327A9E">
        <w:rPr>
          <w:rFonts w:cs="Arial"/>
          <w:szCs w:val="22"/>
        </w:rPr>
        <w:t xml:space="preserve"> </w:t>
      </w:r>
      <w:r w:rsidRPr="00D94E50">
        <w:rPr>
          <w:rFonts w:cs="Arial"/>
          <w:szCs w:val="22"/>
        </w:rPr>
        <w:t>This time-based approach to duplexing avoids the inherent inefficiency of frequency division multiplexing, where one direction may sit underutilized while the other is congested.</w:t>
      </w:r>
      <w:r w:rsidR="00327A9E">
        <w:rPr>
          <w:rFonts w:cs="Arial"/>
          <w:szCs w:val="22"/>
        </w:rPr>
        <w:t xml:space="preserve"> </w:t>
      </w:r>
      <w:r w:rsidRPr="00D94E50">
        <w:rPr>
          <w:rFonts w:cs="Arial"/>
          <w:szCs w:val="22"/>
        </w:rPr>
        <w:t xml:space="preserve"> By dynamically adjusting the ratio of uplink to downlink timeslots, operators can tailor network performance to match asymmetric data traffic patterns which are increasingly common as consumers and enterprises demand higher downlink throughput for video streaming, cloud applications, and other data-intensive services.</w:t>
      </w:r>
    </w:p>
    <w:p w14:paraId="4FD5A682" w14:textId="77777777" w:rsidR="00866846" w:rsidRPr="00D94E50" w:rsidRDefault="00866846" w:rsidP="00866846">
      <w:pPr>
        <w:widowControl/>
        <w:spacing w:line="360" w:lineRule="auto"/>
        <w:jc w:val="both"/>
        <w:rPr>
          <w:rFonts w:cs="Arial"/>
          <w:szCs w:val="22"/>
        </w:rPr>
      </w:pPr>
    </w:p>
    <w:p w14:paraId="5261A862" w14:textId="3ACED21D" w:rsidR="00866846" w:rsidRPr="00D94E50" w:rsidRDefault="00866846" w:rsidP="00866846">
      <w:pPr>
        <w:widowControl/>
        <w:numPr>
          <w:ilvl w:val="0"/>
          <w:numId w:val="1"/>
        </w:numPr>
        <w:spacing w:line="360" w:lineRule="auto"/>
        <w:jc w:val="both"/>
        <w:rPr>
          <w:rFonts w:cs="Arial"/>
          <w:szCs w:val="22"/>
        </w:rPr>
      </w:pPr>
      <w:r w:rsidRPr="00D94E50">
        <w:rPr>
          <w:rFonts w:cs="Arial"/>
          <w:szCs w:val="22"/>
        </w:rPr>
        <w:t>In addition, when all operators use TDD with a synchronized frame structure, uplink</w:t>
      </w:r>
      <w:r w:rsidR="00327A9E">
        <w:rPr>
          <w:rFonts w:cs="Arial"/>
          <w:szCs w:val="22"/>
        </w:rPr>
        <w:t>,</w:t>
      </w:r>
      <w:r w:rsidRPr="00D94E50">
        <w:rPr>
          <w:rFonts w:cs="Arial"/>
          <w:szCs w:val="22"/>
        </w:rPr>
        <w:t xml:space="preserve"> and downlink transmissions across different operators</w:t>
      </w:r>
      <w:r>
        <w:rPr>
          <w:rFonts w:cs="Arial"/>
          <w:szCs w:val="22"/>
        </w:rPr>
        <w:t>'</w:t>
      </w:r>
      <w:r w:rsidRPr="00D94E50">
        <w:rPr>
          <w:rFonts w:cs="Arial"/>
          <w:szCs w:val="22"/>
        </w:rPr>
        <w:t xml:space="preserve"> spectrum </w:t>
      </w:r>
      <w:r w:rsidR="00E00125">
        <w:rPr>
          <w:rFonts w:cs="Arial"/>
          <w:szCs w:val="22"/>
        </w:rPr>
        <w:t>frequencies</w:t>
      </w:r>
      <w:r w:rsidR="00E00125" w:rsidRPr="00D94E50">
        <w:rPr>
          <w:rFonts w:cs="Arial"/>
          <w:szCs w:val="22"/>
        </w:rPr>
        <w:t xml:space="preserve"> </w:t>
      </w:r>
      <w:r w:rsidRPr="00D94E50">
        <w:rPr>
          <w:rFonts w:cs="Arial"/>
          <w:szCs w:val="22"/>
        </w:rPr>
        <w:t xml:space="preserve">are aligned in time. </w:t>
      </w:r>
      <w:r w:rsidR="00327A9E">
        <w:rPr>
          <w:rFonts w:cs="Arial"/>
          <w:szCs w:val="22"/>
        </w:rPr>
        <w:t xml:space="preserve"> </w:t>
      </w:r>
      <w:r w:rsidRPr="00D94E50">
        <w:rPr>
          <w:rFonts w:cs="Arial"/>
          <w:szCs w:val="22"/>
        </w:rPr>
        <w:t>This eliminates the risk of one operator</w:t>
      </w:r>
      <w:r>
        <w:rPr>
          <w:rFonts w:cs="Arial"/>
          <w:szCs w:val="22"/>
        </w:rPr>
        <w:t>'</w:t>
      </w:r>
      <w:r w:rsidRPr="00D94E50">
        <w:rPr>
          <w:rFonts w:cs="Arial"/>
          <w:szCs w:val="22"/>
        </w:rPr>
        <w:t>s downlink transmission interfering with an adjacent operator</w:t>
      </w:r>
      <w:r>
        <w:rPr>
          <w:rFonts w:cs="Arial"/>
          <w:szCs w:val="22"/>
        </w:rPr>
        <w:t>'</w:t>
      </w:r>
      <w:r w:rsidRPr="00D94E50">
        <w:rPr>
          <w:rFonts w:cs="Arial"/>
          <w:szCs w:val="22"/>
        </w:rPr>
        <w:t>s uplink reception which can severely degrade network performance when unsynchronized TDD or mixed FDD/TDD operations are present.</w:t>
      </w:r>
      <w:r w:rsidR="00327A9E">
        <w:rPr>
          <w:rFonts w:cs="Arial"/>
          <w:szCs w:val="22"/>
        </w:rPr>
        <w:t xml:space="preserve"> </w:t>
      </w:r>
      <w:r w:rsidRPr="00D94E50">
        <w:rPr>
          <w:rFonts w:cs="Arial"/>
          <w:szCs w:val="22"/>
        </w:rPr>
        <w:t xml:space="preserve"> TDD synchronization will resolve interference not only between Canadian operators domestically, but also between Canadian and US operators across the border, as both countries will be operating Band 41 with compatible TDD configurations.</w:t>
      </w:r>
    </w:p>
    <w:p w14:paraId="0785ABAB" w14:textId="77777777" w:rsidR="00866846" w:rsidRPr="00D94E50" w:rsidRDefault="00866846" w:rsidP="00866846">
      <w:pPr>
        <w:widowControl/>
        <w:spacing w:line="360" w:lineRule="auto"/>
        <w:jc w:val="both"/>
        <w:rPr>
          <w:rFonts w:cs="Arial"/>
          <w:szCs w:val="22"/>
        </w:rPr>
      </w:pPr>
    </w:p>
    <w:p w14:paraId="63064509" w14:textId="77777777" w:rsidR="00327A9E" w:rsidRDefault="00866846" w:rsidP="00327A9E">
      <w:pPr>
        <w:widowControl/>
        <w:numPr>
          <w:ilvl w:val="0"/>
          <w:numId w:val="1"/>
        </w:numPr>
        <w:spacing w:line="360" w:lineRule="auto"/>
        <w:jc w:val="both"/>
        <w:rPr>
          <w:rFonts w:cs="Arial"/>
          <w:szCs w:val="22"/>
        </w:rPr>
      </w:pPr>
      <w:r w:rsidRPr="00D94E50">
        <w:rPr>
          <w:rFonts w:cs="Arial"/>
          <w:szCs w:val="22"/>
        </w:rPr>
        <w:lastRenderedPageBreak/>
        <w:t xml:space="preserve">Spectrum alignment with the US, dynamic timeslot allocation, and synchronized TDD operation collectively allow for more efficient use of this valuable mid-band spectrum. </w:t>
      </w:r>
      <w:r w:rsidR="00327A9E">
        <w:rPr>
          <w:rFonts w:cs="Arial"/>
          <w:szCs w:val="22"/>
        </w:rPr>
        <w:t xml:space="preserve"> </w:t>
      </w:r>
      <w:r w:rsidRPr="00D94E50">
        <w:rPr>
          <w:rFonts w:cs="Arial"/>
          <w:szCs w:val="22"/>
        </w:rPr>
        <w:t>This is directly aligned with ISED</w:t>
      </w:r>
      <w:r>
        <w:rPr>
          <w:rFonts w:cs="Arial"/>
          <w:szCs w:val="22"/>
        </w:rPr>
        <w:t>'</w:t>
      </w:r>
      <w:r w:rsidRPr="00D94E50">
        <w:rPr>
          <w:rFonts w:cs="Arial"/>
          <w:szCs w:val="22"/>
        </w:rPr>
        <w:t xml:space="preserve">s </w:t>
      </w:r>
      <w:r w:rsidRPr="00D94E50">
        <w:rPr>
          <w:rFonts w:cs="Arial"/>
          <w:i/>
          <w:iCs/>
          <w:szCs w:val="22"/>
        </w:rPr>
        <w:t>Spectrum Policy Framework</w:t>
      </w:r>
      <w:r w:rsidRPr="00D94E50">
        <w:rPr>
          <w:rFonts w:cs="Arial"/>
          <w:szCs w:val="22"/>
        </w:rPr>
        <w:t xml:space="preserve"> objective of maximizing the economic and social benefits that Canadians derive from the use of the radio frequency spectrum,</w:t>
      </w:r>
      <w:r w:rsidRPr="00D94E50">
        <w:rPr>
          <w:rStyle w:val="FootnoteReference"/>
          <w:rFonts w:cs="Arial"/>
          <w:szCs w:val="22"/>
        </w:rPr>
        <w:footnoteReference w:id="2"/>
      </w:r>
      <w:r w:rsidRPr="00D94E50">
        <w:rPr>
          <w:rFonts w:cs="Arial"/>
          <w:szCs w:val="22"/>
        </w:rPr>
        <w:t xml:space="preserve"> and the Enabling Guideline (h) which states that </w:t>
      </w:r>
    </w:p>
    <w:p w14:paraId="35907958" w14:textId="77777777" w:rsidR="00327A9E" w:rsidRDefault="00327A9E" w:rsidP="00FE1F64">
      <w:pPr>
        <w:widowControl/>
        <w:tabs>
          <w:tab w:val="clear" w:pos="720"/>
        </w:tabs>
        <w:ind w:right="720"/>
        <w:jc w:val="both"/>
        <w:rPr>
          <w:rFonts w:cs="Arial"/>
          <w:szCs w:val="22"/>
        </w:rPr>
      </w:pPr>
    </w:p>
    <w:p w14:paraId="2E178076" w14:textId="4D1A3EE3" w:rsidR="00866846" w:rsidRPr="00327A9E" w:rsidRDefault="00866846" w:rsidP="00FE1F64">
      <w:pPr>
        <w:widowControl/>
        <w:tabs>
          <w:tab w:val="clear" w:pos="720"/>
        </w:tabs>
        <w:ind w:left="720" w:right="720"/>
        <w:jc w:val="both"/>
        <w:rPr>
          <w:rFonts w:cs="Arial"/>
          <w:szCs w:val="22"/>
        </w:rPr>
      </w:pPr>
      <w:r w:rsidRPr="00327A9E">
        <w:rPr>
          <w:rFonts w:cs="Arial"/>
          <w:szCs w:val="22"/>
        </w:rPr>
        <w:t>spectrum policy and management should support the efficient functioning of markets by harmonizing spectrum use with international allocations and standards, except where Canadian interests warrant a different determination.</w:t>
      </w:r>
      <w:r w:rsidRPr="00D94E50">
        <w:rPr>
          <w:rStyle w:val="FootnoteReference"/>
          <w:rFonts w:cs="Arial"/>
          <w:szCs w:val="22"/>
        </w:rPr>
        <w:footnoteReference w:id="3"/>
      </w:r>
    </w:p>
    <w:p w14:paraId="56A7F154" w14:textId="77777777" w:rsidR="00866846" w:rsidRPr="00D94E50" w:rsidRDefault="00866846" w:rsidP="00866846">
      <w:pPr>
        <w:widowControl/>
        <w:spacing w:line="360" w:lineRule="auto"/>
        <w:jc w:val="both"/>
        <w:rPr>
          <w:rFonts w:cs="Arial"/>
          <w:szCs w:val="22"/>
        </w:rPr>
      </w:pPr>
    </w:p>
    <w:p w14:paraId="03E201C8" w14:textId="5E550BEA" w:rsidR="00866846" w:rsidRPr="00D94E50" w:rsidRDefault="00866846" w:rsidP="00866846">
      <w:pPr>
        <w:widowControl/>
        <w:numPr>
          <w:ilvl w:val="0"/>
          <w:numId w:val="1"/>
        </w:numPr>
        <w:spacing w:line="360" w:lineRule="auto"/>
        <w:jc w:val="both"/>
        <w:rPr>
          <w:rFonts w:cs="Arial"/>
          <w:szCs w:val="22"/>
        </w:rPr>
      </w:pPr>
      <w:r w:rsidRPr="00D94E50">
        <w:rPr>
          <w:rFonts w:cs="Arial"/>
          <w:szCs w:val="22"/>
        </w:rPr>
        <w:t xml:space="preserve">Band 41 also benefits from a well-established equipment and device ecosystem, owing to its widespread deployment in the US. </w:t>
      </w:r>
      <w:r w:rsidR="00327A9E">
        <w:rPr>
          <w:rFonts w:cs="Arial"/>
          <w:szCs w:val="22"/>
        </w:rPr>
        <w:t xml:space="preserve"> </w:t>
      </w:r>
      <w:r w:rsidRPr="00D94E50">
        <w:rPr>
          <w:rFonts w:cs="Arial"/>
          <w:szCs w:val="22"/>
        </w:rPr>
        <w:t xml:space="preserve">Canadian consumers will benefit directly from this established ecosystem, as the availability of Band 41-capable devices and equipment will facilitate a cost-effective and efficient transition. </w:t>
      </w:r>
      <w:r w:rsidR="00327A9E">
        <w:rPr>
          <w:rFonts w:cs="Arial"/>
          <w:szCs w:val="22"/>
        </w:rPr>
        <w:t xml:space="preserve"> </w:t>
      </w:r>
      <w:r w:rsidRPr="00D94E50">
        <w:rPr>
          <w:rFonts w:cs="Arial"/>
          <w:szCs w:val="22"/>
        </w:rPr>
        <w:t xml:space="preserve">Notably, many devices currently in use by Canadian subscribers already support both Band 7 and Band 41, meaning that the transition to an unpaired band plan will be largely seamless from the end-user perspective. </w:t>
      </w:r>
      <w:r w:rsidR="00327A9E">
        <w:rPr>
          <w:rFonts w:cs="Arial"/>
          <w:szCs w:val="22"/>
        </w:rPr>
        <w:t xml:space="preserve"> </w:t>
      </w:r>
      <w:r w:rsidRPr="00D94E50">
        <w:rPr>
          <w:rFonts w:cs="Arial"/>
          <w:szCs w:val="22"/>
        </w:rPr>
        <w:t>Subscribers will not need to replace their devices to access services on the new Band 41 configuration, which will help ensure continuity of service and minimize disruption to customers throughout the transition period.</w:t>
      </w:r>
    </w:p>
    <w:p w14:paraId="106AF61A" w14:textId="77777777" w:rsidR="00866846" w:rsidRPr="00D94E50" w:rsidRDefault="00866846" w:rsidP="00866846">
      <w:pPr>
        <w:widowControl/>
        <w:spacing w:line="360" w:lineRule="auto"/>
        <w:jc w:val="both"/>
        <w:rPr>
          <w:rFonts w:cs="Arial"/>
          <w:szCs w:val="22"/>
        </w:rPr>
      </w:pPr>
    </w:p>
    <w:p w14:paraId="72700FDF" w14:textId="563CF1F6" w:rsidR="00866846" w:rsidRPr="00D94E50" w:rsidRDefault="00866846" w:rsidP="00866846">
      <w:pPr>
        <w:widowControl/>
        <w:numPr>
          <w:ilvl w:val="0"/>
          <w:numId w:val="1"/>
        </w:numPr>
        <w:spacing w:line="360" w:lineRule="auto"/>
        <w:jc w:val="both"/>
        <w:rPr>
          <w:rFonts w:cs="Arial"/>
          <w:szCs w:val="22"/>
        </w:rPr>
      </w:pPr>
      <w:r w:rsidRPr="00D94E50">
        <w:rPr>
          <w:rFonts w:cs="Arial"/>
          <w:szCs w:val="22"/>
        </w:rPr>
        <w:t xml:space="preserve">It is important that ISED recognize the substantial investments that licensees have already made in deploying Band 7 and Band 38 infrastructure across Canada. </w:t>
      </w:r>
      <w:r w:rsidR="00327A9E">
        <w:rPr>
          <w:rFonts w:cs="Arial"/>
          <w:szCs w:val="22"/>
        </w:rPr>
        <w:t xml:space="preserve"> </w:t>
      </w:r>
      <w:r w:rsidRPr="00D94E50">
        <w:rPr>
          <w:rFonts w:cs="Arial"/>
          <w:szCs w:val="22"/>
        </w:rPr>
        <w:t xml:space="preserve">Canadian mobile network operators have collectively deployed Band 7 and Band 38 equipment at thousands of sites nationwide, representing significant capital expenditures that have been fundamental to the delivery of LTE and 5G services to Canadians. </w:t>
      </w:r>
      <w:r w:rsidR="00327A9E">
        <w:rPr>
          <w:rFonts w:cs="Arial"/>
          <w:szCs w:val="22"/>
        </w:rPr>
        <w:t xml:space="preserve"> </w:t>
      </w:r>
      <w:r w:rsidRPr="00D94E50">
        <w:rPr>
          <w:rFonts w:cs="Arial"/>
          <w:szCs w:val="22"/>
        </w:rPr>
        <w:t xml:space="preserve">The transition to a fully TDD Band 41 configuration will render existing Band 7 FDD </w:t>
      </w:r>
      <w:r w:rsidR="001B4C73">
        <w:rPr>
          <w:rFonts w:cs="Arial"/>
          <w:szCs w:val="22"/>
        </w:rPr>
        <w:t>equipment</w:t>
      </w:r>
      <w:r w:rsidR="001B4C73" w:rsidRPr="00D94E50">
        <w:rPr>
          <w:rFonts w:cs="Arial"/>
          <w:szCs w:val="22"/>
        </w:rPr>
        <w:t xml:space="preserve"> </w:t>
      </w:r>
      <w:r w:rsidRPr="00D94E50">
        <w:rPr>
          <w:rFonts w:cs="Arial"/>
          <w:szCs w:val="22"/>
        </w:rPr>
        <w:t xml:space="preserve">obsolete and require its replacement with new Band 41-compatible equipment across all affected sites. </w:t>
      </w:r>
      <w:r w:rsidR="00327A9E">
        <w:rPr>
          <w:rFonts w:cs="Arial"/>
          <w:szCs w:val="22"/>
        </w:rPr>
        <w:t xml:space="preserve"> </w:t>
      </w:r>
      <w:r w:rsidRPr="00D94E50">
        <w:rPr>
          <w:rFonts w:cs="Arial"/>
          <w:szCs w:val="22"/>
        </w:rPr>
        <w:t xml:space="preserve">We have made extensive investments in spectrum and infrastructure, and the costs of transition – including </w:t>
      </w:r>
      <w:r w:rsidR="001B4C73">
        <w:rPr>
          <w:rFonts w:cs="Arial"/>
          <w:szCs w:val="22"/>
        </w:rPr>
        <w:t>equipment</w:t>
      </w:r>
      <w:r w:rsidR="001B4C73" w:rsidRPr="00D94E50">
        <w:rPr>
          <w:rFonts w:cs="Arial"/>
          <w:szCs w:val="22"/>
        </w:rPr>
        <w:t xml:space="preserve"> </w:t>
      </w:r>
      <w:r w:rsidRPr="00D94E50">
        <w:rPr>
          <w:rFonts w:cs="Arial"/>
          <w:szCs w:val="22"/>
        </w:rPr>
        <w:t>procurement, site works, commissioning, and the associated planning and engineering resources – will be considerable.</w:t>
      </w:r>
    </w:p>
    <w:p w14:paraId="501DC257" w14:textId="77777777" w:rsidR="00866846" w:rsidRPr="00D94E50" w:rsidRDefault="00866846" w:rsidP="00866846">
      <w:pPr>
        <w:widowControl/>
        <w:spacing w:line="360" w:lineRule="auto"/>
        <w:jc w:val="both"/>
        <w:rPr>
          <w:rFonts w:cs="Arial"/>
          <w:szCs w:val="22"/>
        </w:rPr>
      </w:pPr>
    </w:p>
    <w:p w14:paraId="20B565D7" w14:textId="1253E3E1" w:rsidR="00866846" w:rsidRPr="00D94E50" w:rsidRDefault="00866846" w:rsidP="00866846">
      <w:pPr>
        <w:widowControl/>
        <w:numPr>
          <w:ilvl w:val="0"/>
          <w:numId w:val="1"/>
        </w:numPr>
        <w:spacing w:line="360" w:lineRule="auto"/>
        <w:jc w:val="both"/>
        <w:rPr>
          <w:rFonts w:cs="Arial"/>
          <w:szCs w:val="22"/>
        </w:rPr>
      </w:pPr>
      <w:r w:rsidRPr="00D94E50">
        <w:rPr>
          <w:rFonts w:cs="Arial"/>
          <w:szCs w:val="22"/>
        </w:rPr>
        <w:t xml:space="preserve">The equipment replacement program will be a complex, resource-intensive undertaking requiring significant capital investment, careful planning, and coordination across mobile network operators, and infrastructure vendors. </w:t>
      </w:r>
      <w:r w:rsidR="00327A9E">
        <w:rPr>
          <w:rFonts w:cs="Arial"/>
          <w:szCs w:val="22"/>
        </w:rPr>
        <w:t xml:space="preserve"> </w:t>
      </w:r>
      <w:r w:rsidRPr="00D94E50">
        <w:rPr>
          <w:rFonts w:cs="Arial"/>
          <w:szCs w:val="22"/>
        </w:rPr>
        <w:t xml:space="preserve">Unlike greenfield deployment, the transition requires </w:t>
      </w:r>
      <w:r w:rsidRPr="00D94E50">
        <w:rPr>
          <w:rFonts w:cs="Arial"/>
          <w:szCs w:val="22"/>
        </w:rPr>
        <w:lastRenderedPageBreak/>
        <w:t>operators to manage the removal of existing in-service equipment, the installation and commissioning of new hardware, and the maintenance of network continuity for subscribers throughout the process, all while continuing to meet existing service obligations and managing broader capital expenditure programs across multiple spectrum bands and technologies simultaneously.</w:t>
      </w:r>
    </w:p>
    <w:p w14:paraId="6A10A199" w14:textId="77777777" w:rsidR="00866846" w:rsidRPr="00D94E50" w:rsidRDefault="00866846" w:rsidP="00866846">
      <w:pPr>
        <w:widowControl/>
        <w:spacing w:line="360" w:lineRule="auto"/>
        <w:jc w:val="both"/>
        <w:rPr>
          <w:rFonts w:cs="Arial"/>
          <w:szCs w:val="22"/>
        </w:rPr>
      </w:pPr>
    </w:p>
    <w:p w14:paraId="1B146923" w14:textId="2B99D062" w:rsidR="00866846" w:rsidRDefault="00866846" w:rsidP="00866846">
      <w:pPr>
        <w:widowControl/>
        <w:numPr>
          <w:ilvl w:val="0"/>
          <w:numId w:val="1"/>
        </w:numPr>
        <w:spacing w:line="360" w:lineRule="auto"/>
        <w:jc w:val="both"/>
        <w:rPr>
          <w:rFonts w:cs="Arial"/>
          <w:szCs w:val="22"/>
        </w:rPr>
      </w:pPr>
      <w:r w:rsidRPr="00D94E50">
        <w:rPr>
          <w:rFonts w:cs="Arial"/>
          <w:szCs w:val="22"/>
        </w:rPr>
        <w:t xml:space="preserve">As a result, we recommend that the transition must be structured over a sufficiently long timeframe to allow licensees to incorporate the necessary </w:t>
      </w:r>
      <w:r w:rsidR="009515DC">
        <w:rPr>
          <w:rFonts w:cs="Arial"/>
          <w:szCs w:val="22"/>
        </w:rPr>
        <w:t>equipment</w:t>
      </w:r>
      <w:r w:rsidR="009515DC" w:rsidRPr="00D94E50">
        <w:rPr>
          <w:rFonts w:cs="Arial"/>
          <w:szCs w:val="22"/>
        </w:rPr>
        <w:t xml:space="preserve"> </w:t>
      </w:r>
      <w:r w:rsidRPr="00D94E50">
        <w:rPr>
          <w:rFonts w:cs="Arial"/>
          <w:szCs w:val="22"/>
        </w:rPr>
        <w:t xml:space="preserve">replacements into their regular network refresh cycles. </w:t>
      </w:r>
      <w:r w:rsidR="008601BE">
        <w:rPr>
          <w:rFonts w:cs="Arial"/>
          <w:szCs w:val="22"/>
        </w:rPr>
        <w:t xml:space="preserve"> </w:t>
      </w:r>
      <w:r w:rsidRPr="00D94E50">
        <w:rPr>
          <w:rFonts w:cs="Arial"/>
          <w:szCs w:val="22"/>
        </w:rPr>
        <w:t xml:space="preserve">Aligning the transition with planned capital investment programs, rather than requiring accelerated or out-of-cycle capital expenditure, will reduce the financial burden on </w:t>
      </w:r>
      <w:r w:rsidR="009515DC">
        <w:rPr>
          <w:rFonts w:cs="Arial"/>
          <w:szCs w:val="22"/>
        </w:rPr>
        <w:t xml:space="preserve">mobile network </w:t>
      </w:r>
      <w:r w:rsidRPr="00D94E50">
        <w:rPr>
          <w:rFonts w:cs="Arial"/>
          <w:szCs w:val="22"/>
        </w:rPr>
        <w:t>operators</w:t>
      </w:r>
      <w:r w:rsidR="008601BE">
        <w:rPr>
          <w:rFonts w:cs="Arial"/>
          <w:szCs w:val="22"/>
        </w:rPr>
        <w:t>,</w:t>
      </w:r>
      <w:r w:rsidRPr="00D94E50">
        <w:rPr>
          <w:rFonts w:cs="Arial"/>
          <w:szCs w:val="22"/>
        </w:rPr>
        <w:t xml:space="preserve"> and support continued investment in network quality and coverage for Canadians. </w:t>
      </w:r>
      <w:r w:rsidR="008601BE">
        <w:rPr>
          <w:rFonts w:cs="Arial"/>
          <w:szCs w:val="22"/>
        </w:rPr>
        <w:t xml:space="preserve"> </w:t>
      </w:r>
      <w:r w:rsidRPr="00D94E50">
        <w:rPr>
          <w:rFonts w:cs="Arial"/>
          <w:szCs w:val="22"/>
        </w:rPr>
        <w:t>A phased</w:t>
      </w:r>
      <w:r w:rsidR="009515DC">
        <w:rPr>
          <w:rFonts w:cs="Arial"/>
          <w:szCs w:val="22"/>
        </w:rPr>
        <w:t>-in</w:t>
      </w:r>
      <w:r w:rsidRPr="00D94E50">
        <w:rPr>
          <w:rFonts w:cs="Arial"/>
          <w:szCs w:val="22"/>
        </w:rPr>
        <w:t xml:space="preserve"> geographic transition, as described in our response to Question 2 below, is therefore essential not only to manage interference during the transition period but also to distribute the capital and operational burden over time, thus avoiding undue pressure on mobile network operators</w:t>
      </w:r>
      <w:r>
        <w:rPr>
          <w:rFonts w:cs="Arial"/>
          <w:szCs w:val="22"/>
        </w:rPr>
        <w:t>'</w:t>
      </w:r>
      <w:r w:rsidRPr="00D94E50">
        <w:rPr>
          <w:rFonts w:cs="Arial"/>
          <w:szCs w:val="22"/>
        </w:rPr>
        <w:t xml:space="preserve"> capital expenditure budgets and technical resources.</w:t>
      </w:r>
      <w:r w:rsidR="008601BE">
        <w:rPr>
          <w:rFonts w:cs="Arial"/>
          <w:szCs w:val="22"/>
        </w:rPr>
        <w:t xml:space="preserve"> </w:t>
      </w:r>
      <w:r w:rsidRPr="00D94E50">
        <w:rPr>
          <w:rFonts w:cs="Arial"/>
          <w:szCs w:val="22"/>
        </w:rPr>
        <w:t xml:space="preserve"> This will allow for </w:t>
      </w:r>
      <w:r w:rsidR="00695EC9">
        <w:rPr>
          <w:rFonts w:cs="Arial"/>
          <w:szCs w:val="22"/>
        </w:rPr>
        <w:t xml:space="preserve">the </w:t>
      </w:r>
      <w:r w:rsidRPr="00D94E50">
        <w:rPr>
          <w:rFonts w:cs="Arial"/>
          <w:szCs w:val="22"/>
        </w:rPr>
        <w:t>orderly procurement and deployment of Band 41 equipment.</w:t>
      </w:r>
    </w:p>
    <w:p w14:paraId="1502C4E8" w14:textId="77777777" w:rsidR="00866846" w:rsidRDefault="00866846" w:rsidP="00866846">
      <w:pPr>
        <w:widowControl/>
        <w:tabs>
          <w:tab w:val="clear" w:pos="720"/>
        </w:tabs>
        <w:spacing w:line="360" w:lineRule="auto"/>
        <w:jc w:val="both"/>
        <w:rPr>
          <w:rFonts w:cs="Arial"/>
          <w:szCs w:val="22"/>
        </w:rPr>
      </w:pPr>
    </w:p>
    <w:p w14:paraId="63E0CAA9" w14:textId="77777777" w:rsidR="00C37046" w:rsidRPr="00C37046" w:rsidRDefault="00C37046" w:rsidP="00C37046">
      <w:pPr>
        <w:pStyle w:val="Heading1"/>
      </w:pPr>
      <w:bookmarkStart w:id="5" w:name="_Toc225843475"/>
      <w:r w:rsidRPr="00C37046">
        <w:t>TIMING FOR THE TRANSITION</w:t>
      </w:r>
      <w:bookmarkEnd w:id="5"/>
    </w:p>
    <w:p w14:paraId="4E7611B0" w14:textId="77777777" w:rsidR="00866846" w:rsidRDefault="00866846" w:rsidP="00866846">
      <w:pPr>
        <w:widowControl/>
        <w:tabs>
          <w:tab w:val="clear" w:pos="720"/>
        </w:tabs>
        <w:spacing w:line="360" w:lineRule="auto"/>
        <w:jc w:val="both"/>
        <w:rPr>
          <w:rFonts w:cs="Arial"/>
          <w:szCs w:val="22"/>
        </w:rPr>
      </w:pPr>
    </w:p>
    <w:p w14:paraId="671BDC4B" w14:textId="77777777" w:rsidR="00C37046" w:rsidRPr="00C37046" w:rsidRDefault="00C37046" w:rsidP="00C37046">
      <w:pPr>
        <w:ind w:left="709" w:hanging="709"/>
        <w:jc w:val="both"/>
        <w:rPr>
          <w:rFonts w:cs="Arial"/>
          <w:b/>
          <w:bCs/>
          <w:iCs/>
          <w:szCs w:val="22"/>
        </w:rPr>
      </w:pPr>
      <w:r w:rsidRPr="00C37046">
        <w:rPr>
          <w:rFonts w:cs="Arial"/>
          <w:b/>
          <w:bCs/>
          <w:iCs/>
          <w:szCs w:val="22"/>
        </w:rPr>
        <w:t>Q2.</w:t>
      </w:r>
      <w:r w:rsidRPr="00C37046">
        <w:rPr>
          <w:rFonts w:cs="Arial"/>
          <w:b/>
          <w:bCs/>
          <w:iCs/>
          <w:szCs w:val="22"/>
        </w:rPr>
        <w:tab/>
        <w:t>ISED is seeking comments on whether starting the transition to an unpaired band plan in 2028 is appropriate and how long licensees may require to complete the transition.</w:t>
      </w:r>
    </w:p>
    <w:p w14:paraId="41EC71C3" w14:textId="77777777" w:rsidR="00866846" w:rsidRPr="00D94E50" w:rsidRDefault="00866846" w:rsidP="00866846">
      <w:pPr>
        <w:widowControl/>
        <w:tabs>
          <w:tab w:val="clear" w:pos="720"/>
        </w:tabs>
        <w:spacing w:line="360" w:lineRule="auto"/>
        <w:jc w:val="both"/>
        <w:rPr>
          <w:rFonts w:cs="Arial"/>
          <w:szCs w:val="22"/>
        </w:rPr>
      </w:pPr>
    </w:p>
    <w:p w14:paraId="4697E043" w14:textId="46EBC739" w:rsidR="00C37046" w:rsidRPr="00D94E50" w:rsidRDefault="00C37046" w:rsidP="00C37046">
      <w:pPr>
        <w:widowControl/>
        <w:numPr>
          <w:ilvl w:val="0"/>
          <w:numId w:val="1"/>
        </w:numPr>
        <w:spacing w:line="360" w:lineRule="auto"/>
        <w:jc w:val="both"/>
        <w:rPr>
          <w:rFonts w:cs="Arial"/>
          <w:szCs w:val="22"/>
        </w:rPr>
      </w:pPr>
      <w:r w:rsidRPr="00D94E50">
        <w:rPr>
          <w:rFonts w:cs="Arial"/>
          <w:szCs w:val="22"/>
        </w:rPr>
        <w:t xml:space="preserve">Mobile network operators, including Bell Mobility, rely heavily on Band 7 spectrum, which is deployed extensively across existing networks. </w:t>
      </w:r>
      <w:r w:rsidR="008601BE">
        <w:rPr>
          <w:rFonts w:cs="Arial"/>
          <w:szCs w:val="22"/>
        </w:rPr>
        <w:t xml:space="preserve"> </w:t>
      </w:r>
      <w:r w:rsidRPr="00D94E50">
        <w:rPr>
          <w:rFonts w:cs="Arial"/>
          <w:szCs w:val="22"/>
        </w:rPr>
        <w:t xml:space="preserve">It will be necessary to allow operators a sufficient period to procure and install new hardware on towers and to plan funding for this costly transition. </w:t>
      </w:r>
      <w:r w:rsidR="008601BE">
        <w:rPr>
          <w:rFonts w:cs="Arial"/>
          <w:szCs w:val="22"/>
        </w:rPr>
        <w:t xml:space="preserve"> </w:t>
      </w:r>
      <w:r w:rsidRPr="00D94E50">
        <w:rPr>
          <w:rFonts w:cs="Arial"/>
          <w:szCs w:val="22"/>
        </w:rPr>
        <w:t xml:space="preserve">Moreover, equipment manufacturers do not have certified Band 41 </w:t>
      </w:r>
      <w:r w:rsidR="003539B9">
        <w:rPr>
          <w:rFonts w:cs="Arial"/>
          <w:szCs w:val="22"/>
        </w:rPr>
        <w:t>equipment</w:t>
      </w:r>
      <w:r w:rsidR="00695EC9" w:rsidRPr="00D94E50">
        <w:rPr>
          <w:rFonts w:cs="Arial"/>
          <w:szCs w:val="22"/>
        </w:rPr>
        <w:t xml:space="preserve"> </w:t>
      </w:r>
      <w:r w:rsidRPr="00D94E50">
        <w:rPr>
          <w:rFonts w:cs="Arial"/>
          <w:szCs w:val="22"/>
        </w:rPr>
        <w:t xml:space="preserve">available in Canada. </w:t>
      </w:r>
      <w:r w:rsidR="008601BE">
        <w:rPr>
          <w:rFonts w:cs="Arial"/>
          <w:szCs w:val="22"/>
        </w:rPr>
        <w:t xml:space="preserve"> </w:t>
      </w:r>
      <w:r w:rsidRPr="00D94E50">
        <w:rPr>
          <w:rFonts w:cs="Arial"/>
          <w:szCs w:val="22"/>
        </w:rPr>
        <w:t>Time will need to be given for equipment manufacturers to obtain Canadian product certification and build sufficient stock for operators.</w:t>
      </w:r>
    </w:p>
    <w:p w14:paraId="4B83374A" w14:textId="77777777" w:rsidR="00C37046" w:rsidRPr="00D94E50" w:rsidRDefault="00C37046" w:rsidP="00C37046">
      <w:pPr>
        <w:widowControl/>
        <w:spacing w:line="360" w:lineRule="auto"/>
        <w:jc w:val="both"/>
        <w:rPr>
          <w:rFonts w:cs="Arial"/>
          <w:szCs w:val="22"/>
        </w:rPr>
      </w:pPr>
    </w:p>
    <w:p w14:paraId="03ED00A1" w14:textId="6B611D93" w:rsidR="00C37046" w:rsidRPr="00D94E50" w:rsidRDefault="00C37046" w:rsidP="00C37046">
      <w:pPr>
        <w:widowControl/>
        <w:numPr>
          <w:ilvl w:val="0"/>
          <w:numId w:val="1"/>
        </w:numPr>
        <w:spacing w:line="360" w:lineRule="auto"/>
        <w:jc w:val="both"/>
        <w:rPr>
          <w:rFonts w:cs="Arial"/>
          <w:szCs w:val="22"/>
        </w:rPr>
      </w:pPr>
      <w:r w:rsidRPr="00D94E50">
        <w:rPr>
          <w:rFonts w:cs="Arial"/>
          <w:szCs w:val="22"/>
        </w:rPr>
        <w:t xml:space="preserve">It is also critical that ISED consider the broader context of ongoing spectrum deployments by mobile network operators. </w:t>
      </w:r>
      <w:r w:rsidR="008601BE">
        <w:rPr>
          <w:rFonts w:cs="Arial"/>
          <w:szCs w:val="22"/>
        </w:rPr>
        <w:t xml:space="preserve"> </w:t>
      </w:r>
      <w:r w:rsidRPr="00D94E50">
        <w:rPr>
          <w:rFonts w:cs="Arial"/>
          <w:szCs w:val="22"/>
        </w:rPr>
        <w:t xml:space="preserve">Mobile network operators are currently in the process of deploying 3500 MHz and 3800 MHz spectrum. </w:t>
      </w:r>
      <w:r w:rsidR="008601BE">
        <w:rPr>
          <w:rFonts w:cs="Arial"/>
          <w:szCs w:val="22"/>
        </w:rPr>
        <w:t xml:space="preserve"> </w:t>
      </w:r>
      <w:r w:rsidRPr="00D94E50">
        <w:rPr>
          <w:rFonts w:cs="Arial"/>
          <w:szCs w:val="22"/>
        </w:rPr>
        <w:t>These investments are already planned and budgeted over the next several years and are essential to meeting growing demand for 5G capacity.</w:t>
      </w:r>
      <w:r w:rsidR="008601BE">
        <w:rPr>
          <w:rFonts w:cs="Arial"/>
          <w:szCs w:val="22"/>
        </w:rPr>
        <w:t xml:space="preserve"> </w:t>
      </w:r>
      <w:r w:rsidRPr="00D94E50">
        <w:rPr>
          <w:rFonts w:cs="Arial"/>
          <w:szCs w:val="22"/>
        </w:rPr>
        <w:t xml:space="preserve"> These deployment programs represent significant capital commitments and require substantial planning, engineering, and operational resources. </w:t>
      </w:r>
      <w:r w:rsidR="008601BE">
        <w:rPr>
          <w:rFonts w:cs="Arial"/>
          <w:szCs w:val="22"/>
        </w:rPr>
        <w:t xml:space="preserve"> </w:t>
      </w:r>
      <w:r w:rsidRPr="00D94E50">
        <w:rPr>
          <w:rFonts w:cs="Arial"/>
          <w:szCs w:val="22"/>
        </w:rPr>
        <w:t xml:space="preserve">Commencing an imposed early 2500 MHz spectrum </w:t>
      </w:r>
      <w:r w:rsidRPr="00D94E50">
        <w:rPr>
          <w:rFonts w:cs="Arial"/>
          <w:szCs w:val="22"/>
        </w:rPr>
        <w:lastRenderedPageBreak/>
        <w:t>band transition could overlap directly with these ongoing 3500 MHz and 3800 MHz spectrum deployments, placing additional pressure on operators</w:t>
      </w:r>
      <w:r>
        <w:rPr>
          <w:rFonts w:cs="Arial"/>
          <w:szCs w:val="22"/>
        </w:rPr>
        <w:t>'</w:t>
      </w:r>
      <w:r w:rsidRPr="00D94E50">
        <w:rPr>
          <w:rFonts w:cs="Arial"/>
          <w:szCs w:val="22"/>
        </w:rPr>
        <w:t xml:space="preserve"> capital expenditure budgets and available technical resources. </w:t>
      </w:r>
      <w:r w:rsidR="008601BE">
        <w:rPr>
          <w:rFonts w:cs="Arial"/>
          <w:szCs w:val="22"/>
        </w:rPr>
        <w:t xml:space="preserve"> </w:t>
      </w:r>
      <w:r w:rsidRPr="00D94E50">
        <w:rPr>
          <w:rFonts w:cs="Arial"/>
          <w:szCs w:val="22"/>
        </w:rPr>
        <w:t>Th</w:t>
      </w:r>
      <w:r w:rsidR="00B06D32">
        <w:rPr>
          <w:rFonts w:cs="Arial"/>
          <w:szCs w:val="22"/>
        </w:rPr>
        <w:t>is</w:t>
      </w:r>
      <w:r w:rsidRPr="00D94E50">
        <w:rPr>
          <w:rFonts w:cs="Arial"/>
          <w:szCs w:val="22"/>
        </w:rPr>
        <w:t xml:space="preserve"> could disrupt a mobile network operator</w:t>
      </w:r>
      <w:r>
        <w:rPr>
          <w:rFonts w:cs="Arial"/>
          <w:szCs w:val="22"/>
        </w:rPr>
        <w:t>'</w:t>
      </w:r>
      <w:r w:rsidRPr="00D94E50">
        <w:rPr>
          <w:rFonts w:cs="Arial"/>
          <w:szCs w:val="22"/>
        </w:rPr>
        <w:t>s already established plans to manage network capacity through the orderly deployment of their existing mid-band spectrum holdings.</w:t>
      </w:r>
      <w:r w:rsidR="008601BE">
        <w:rPr>
          <w:rFonts w:cs="Arial"/>
          <w:szCs w:val="22"/>
        </w:rPr>
        <w:t xml:space="preserve"> </w:t>
      </w:r>
      <w:r w:rsidRPr="00D94E50">
        <w:rPr>
          <w:rFonts w:cs="Arial"/>
          <w:szCs w:val="22"/>
        </w:rPr>
        <w:t xml:space="preserve"> Mobile network operators need to carefully manage network capacity throughout the transition period, ensuring that the temporary loss of Band 7 FDD capacity at individual sites can be offset by capacity gains from 3500 MHz and 3800 MHz deployments that are already underway or planned. </w:t>
      </w:r>
      <w:r w:rsidR="008601BE">
        <w:rPr>
          <w:rFonts w:cs="Arial"/>
          <w:szCs w:val="22"/>
        </w:rPr>
        <w:t xml:space="preserve"> </w:t>
      </w:r>
      <w:r w:rsidRPr="00D94E50">
        <w:rPr>
          <w:rFonts w:cs="Arial"/>
          <w:szCs w:val="22"/>
        </w:rPr>
        <w:t>A longer transition timeline will allow operators to sequence their capital investments across multiple spectrum bands in an efficient and sustainable manner.</w:t>
      </w:r>
    </w:p>
    <w:p w14:paraId="363DE5CC" w14:textId="77777777" w:rsidR="00C37046" w:rsidRPr="00D94E50" w:rsidRDefault="00C37046" w:rsidP="00C37046">
      <w:pPr>
        <w:widowControl/>
        <w:spacing w:line="360" w:lineRule="auto"/>
        <w:jc w:val="both"/>
        <w:rPr>
          <w:rFonts w:cs="Arial"/>
          <w:szCs w:val="22"/>
        </w:rPr>
      </w:pPr>
    </w:p>
    <w:p w14:paraId="7FA59D9F" w14:textId="26324E30" w:rsidR="00C37046" w:rsidRPr="00D94E50" w:rsidRDefault="00C37046" w:rsidP="00C37046">
      <w:pPr>
        <w:widowControl/>
        <w:numPr>
          <w:ilvl w:val="0"/>
          <w:numId w:val="1"/>
        </w:numPr>
        <w:spacing w:line="360" w:lineRule="auto"/>
        <w:jc w:val="both"/>
        <w:rPr>
          <w:rFonts w:cs="Arial"/>
          <w:szCs w:val="22"/>
        </w:rPr>
      </w:pPr>
      <w:r w:rsidRPr="00D94E50">
        <w:rPr>
          <w:rFonts w:cs="Arial"/>
          <w:szCs w:val="22"/>
        </w:rPr>
        <w:t>Based on preliminary discussions with other mobile network operators, we recommend a phased-in transition approach, with Canada divided into three zones</w:t>
      </w:r>
      <w:r w:rsidR="005810CD">
        <w:rPr>
          <w:rFonts w:cs="Arial"/>
          <w:szCs w:val="22"/>
        </w:rPr>
        <w:t xml:space="preserve"> with staggered transition deadlines</w:t>
      </w:r>
      <w:r w:rsidRPr="00D94E50">
        <w:rPr>
          <w:rFonts w:cs="Arial"/>
          <w:szCs w:val="22"/>
        </w:rPr>
        <w:t>.</w:t>
      </w:r>
      <w:r w:rsidR="008601BE">
        <w:rPr>
          <w:rFonts w:cs="Arial"/>
          <w:szCs w:val="22"/>
        </w:rPr>
        <w:t xml:space="preserve"> </w:t>
      </w:r>
      <w:r w:rsidRPr="00D94E50">
        <w:rPr>
          <w:rFonts w:cs="Arial"/>
          <w:szCs w:val="22"/>
        </w:rPr>
        <w:t xml:space="preserve"> For example, the initial transition would occur generally in Ontario and Quebec, followed by Atlantic Canada, Manitoba, Saskatchewan, Alberta</w:t>
      </w:r>
      <w:r w:rsidR="008601BE">
        <w:rPr>
          <w:rFonts w:cs="Arial"/>
          <w:szCs w:val="22"/>
        </w:rPr>
        <w:t>,</w:t>
      </w:r>
      <w:r w:rsidRPr="00D94E50">
        <w:rPr>
          <w:rFonts w:cs="Arial"/>
          <w:szCs w:val="22"/>
        </w:rPr>
        <w:t xml:space="preserve"> and British Columbia a few years later and then finally, Yukon, Northwest Territories</w:t>
      </w:r>
      <w:r w:rsidR="0093171B">
        <w:rPr>
          <w:rFonts w:cs="Arial"/>
          <w:szCs w:val="22"/>
        </w:rPr>
        <w:t>,</w:t>
      </w:r>
      <w:r w:rsidRPr="00D94E50">
        <w:rPr>
          <w:rFonts w:cs="Arial"/>
          <w:szCs w:val="22"/>
        </w:rPr>
        <w:t xml:space="preserve"> and Nunavut</w:t>
      </w:r>
      <w:r w:rsidR="0093171B">
        <w:rPr>
          <w:rFonts w:cs="Arial"/>
          <w:szCs w:val="22"/>
        </w:rPr>
        <w:t>,</w:t>
      </w:r>
      <w:r w:rsidRPr="00D94E50">
        <w:rPr>
          <w:rFonts w:cs="Arial"/>
          <w:szCs w:val="22"/>
        </w:rPr>
        <w:t xml:space="preserve"> approximately a year after that. </w:t>
      </w:r>
      <w:r w:rsidR="0093171B">
        <w:rPr>
          <w:rFonts w:cs="Arial"/>
          <w:szCs w:val="22"/>
        </w:rPr>
        <w:t xml:space="preserve"> </w:t>
      </w:r>
      <w:r w:rsidRPr="00D94E50">
        <w:rPr>
          <w:rFonts w:cs="Arial"/>
          <w:szCs w:val="22"/>
        </w:rPr>
        <w:t xml:space="preserve">The exact details and timing will be determined through stakeholder discussions over the next couple of years, but preliminary views suggest an initial transition deadline </w:t>
      </w:r>
      <w:r w:rsidR="00622357">
        <w:rPr>
          <w:rFonts w:cs="Arial"/>
          <w:szCs w:val="22"/>
        </w:rPr>
        <w:t xml:space="preserve">for Ontario and Quebec </w:t>
      </w:r>
      <w:r w:rsidRPr="00D94E50">
        <w:rPr>
          <w:rFonts w:cs="Arial"/>
          <w:szCs w:val="22"/>
        </w:rPr>
        <w:t>around 2033</w:t>
      </w:r>
      <w:r w:rsidR="00622357">
        <w:rPr>
          <w:rFonts w:cs="Arial"/>
          <w:szCs w:val="22"/>
        </w:rPr>
        <w:t>, with transition deadlines for the remaining zones occurring a few ye</w:t>
      </w:r>
      <w:r w:rsidR="00BB337D">
        <w:rPr>
          <w:rFonts w:cs="Arial"/>
          <w:szCs w:val="22"/>
        </w:rPr>
        <w:t>ars later</w:t>
      </w:r>
      <w:r w:rsidRPr="00D94E50">
        <w:rPr>
          <w:rFonts w:cs="Arial"/>
          <w:szCs w:val="22"/>
        </w:rPr>
        <w:t>.</w:t>
      </w:r>
    </w:p>
    <w:p w14:paraId="0F9CC6CA" w14:textId="77777777" w:rsidR="00C37046" w:rsidRPr="00D94E50" w:rsidRDefault="00C37046" w:rsidP="00C37046">
      <w:pPr>
        <w:widowControl/>
        <w:tabs>
          <w:tab w:val="clear" w:pos="720"/>
        </w:tabs>
        <w:spacing w:line="360" w:lineRule="auto"/>
        <w:jc w:val="both"/>
        <w:rPr>
          <w:rFonts w:cs="Arial"/>
          <w:szCs w:val="22"/>
        </w:rPr>
      </w:pPr>
    </w:p>
    <w:p w14:paraId="0C82E7C3" w14:textId="2B23E814" w:rsidR="00C37046" w:rsidRPr="00D94E50" w:rsidRDefault="00C37046" w:rsidP="00C37046">
      <w:pPr>
        <w:widowControl/>
        <w:numPr>
          <w:ilvl w:val="0"/>
          <w:numId w:val="1"/>
        </w:numPr>
        <w:spacing w:line="360" w:lineRule="auto"/>
        <w:jc w:val="both"/>
        <w:rPr>
          <w:rFonts w:cs="Arial"/>
          <w:szCs w:val="22"/>
        </w:rPr>
      </w:pPr>
      <w:r w:rsidRPr="00D94E50">
        <w:rPr>
          <w:rFonts w:cs="Arial"/>
          <w:szCs w:val="22"/>
        </w:rPr>
        <w:t>This phased</w:t>
      </w:r>
      <w:r w:rsidR="00BB337D">
        <w:rPr>
          <w:rFonts w:cs="Arial"/>
          <w:szCs w:val="22"/>
        </w:rPr>
        <w:t>-in</w:t>
      </w:r>
      <w:r w:rsidRPr="00D94E50">
        <w:rPr>
          <w:rFonts w:cs="Arial"/>
          <w:szCs w:val="22"/>
        </w:rPr>
        <w:t xml:space="preserve"> approach prioritizes the areas most impacted by cross-border interference while also providing significant 5G capacity upgrades to large metropolitan markets in Ontario and Quebec first. </w:t>
      </w:r>
      <w:r w:rsidR="009171CB">
        <w:rPr>
          <w:rFonts w:cs="Arial"/>
          <w:szCs w:val="22"/>
        </w:rPr>
        <w:t xml:space="preserve"> </w:t>
      </w:r>
      <w:r w:rsidRPr="00D94E50">
        <w:rPr>
          <w:rFonts w:cs="Arial"/>
          <w:szCs w:val="22"/>
        </w:rPr>
        <w:t xml:space="preserve">It also allows enough time for </w:t>
      </w:r>
      <w:r w:rsidR="00BB337D">
        <w:rPr>
          <w:rFonts w:cs="Arial"/>
          <w:szCs w:val="22"/>
        </w:rPr>
        <w:t>equipment</w:t>
      </w:r>
      <w:r w:rsidR="00BB337D" w:rsidRPr="00D94E50">
        <w:rPr>
          <w:rFonts w:cs="Arial"/>
          <w:szCs w:val="22"/>
        </w:rPr>
        <w:t xml:space="preserve"> </w:t>
      </w:r>
      <w:r w:rsidRPr="00D94E50">
        <w:rPr>
          <w:rFonts w:cs="Arial"/>
          <w:szCs w:val="22"/>
        </w:rPr>
        <w:t xml:space="preserve">vendors to bring new products to market and for operators to test </w:t>
      </w:r>
      <w:r w:rsidR="00BB337D">
        <w:rPr>
          <w:rFonts w:cs="Arial"/>
          <w:szCs w:val="22"/>
        </w:rPr>
        <w:t>equipment</w:t>
      </w:r>
      <w:r w:rsidR="00BB337D" w:rsidRPr="00D94E50">
        <w:rPr>
          <w:rFonts w:cs="Arial"/>
          <w:szCs w:val="22"/>
        </w:rPr>
        <w:t xml:space="preserve"> </w:t>
      </w:r>
      <w:r w:rsidRPr="00D94E50">
        <w:rPr>
          <w:rFonts w:cs="Arial"/>
          <w:szCs w:val="22"/>
        </w:rPr>
        <w:t>before deploying it in production environments.</w:t>
      </w:r>
    </w:p>
    <w:p w14:paraId="1501D60B" w14:textId="77777777" w:rsidR="00C37046" w:rsidRPr="00D94E50" w:rsidRDefault="00C37046" w:rsidP="00C37046">
      <w:pPr>
        <w:widowControl/>
        <w:spacing w:line="360" w:lineRule="auto"/>
        <w:jc w:val="both"/>
        <w:rPr>
          <w:rFonts w:cs="Arial"/>
          <w:szCs w:val="22"/>
        </w:rPr>
      </w:pPr>
    </w:p>
    <w:p w14:paraId="027D324D" w14:textId="281A67D0" w:rsidR="00C37046" w:rsidRDefault="00C37046" w:rsidP="00C37046">
      <w:pPr>
        <w:widowControl/>
        <w:numPr>
          <w:ilvl w:val="0"/>
          <w:numId w:val="1"/>
        </w:numPr>
        <w:spacing w:line="360" w:lineRule="auto"/>
        <w:jc w:val="both"/>
        <w:rPr>
          <w:rFonts w:cs="Arial"/>
          <w:szCs w:val="22"/>
        </w:rPr>
      </w:pPr>
      <w:r w:rsidRPr="00D94E50">
        <w:rPr>
          <w:rFonts w:cs="Arial"/>
          <w:szCs w:val="22"/>
        </w:rPr>
        <w:t xml:space="preserve">The key objective is not the </w:t>
      </w:r>
      <w:r w:rsidR="002E47A0">
        <w:rPr>
          <w:rFonts w:cs="Arial"/>
          <w:szCs w:val="22"/>
        </w:rPr>
        <w:t>start of the transition process</w:t>
      </w:r>
      <w:r w:rsidRPr="00D94E50">
        <w:rPr>
          <w:rFonts w:cs="Arial"/>
          <w:szCs w:val="22"/>
        </w:rPr>
        <w:t xml:space="preserve"> but rather ensuring that the phased</w:t>
      </w:r>
      <w:r w:rsidR="002E47A0">
        <w:rPr>
          <w:rFonts w:cs="Arial"/>
          <w:szCs w:val="22"/>
        </w:rPr>
        <w:t>-in</w:t>
      </w:r>
      <w:r w:rsidRPr="00D94E50">
        <w:rPr>
          <w:rFonts w:cs="Arial"/>
          <w:szCs w:val="22"/>
        </w:rPr>
        <w:t xml:space="preserve"> </w:t>
      </w:r>
      <w:r w:rsidR="002E47A0">
        <w:rPr>
          <w:rFonts w:cs="Arial"/>
          <w:szCs w:val="22"/>
        </w:rPr>
        <w:t>transition</w:t>
      </w:r>
      <w:r w:rsidR="002E47A0" w:rsidRPr="00D94E50">
        <w:rPr>
          <w:rFonts w:cs="Arial"/>
          <w:szCs w:val="22"/>
        </w:rPr>
        <w:t xml:space="preserve"> </w:t>
      </w:r>
      <w:r w:rsidRPr="00D94E50">
        <w:rPr>
          <w:rFonts w:cs="Arial"/>
          <w:szCs w:val="22"/>
        </w:rPr>
        <w:t xml:space="preserve">deadlines described above are achievable and that operators have sufficient time to plan, budget, and execute the transition in an orderly manner. </w:t>
      </w:r>
      <w:r w:rsidR="009171CB">
        <w:rPr>
          <w:rFonts w:cs="Arial"/>
          <w:szCs w:val="22"/>
        </w:rPr>
        <w:t xml:space="preserve"> </w:t>
      </w:r>
      <w:r w:rsidRPr="00D94E50">
        <w:rPr>
          <w:rFonts w:cs="Arial"/>
          <w:szCs w:val="22"/>
        </w:rPr>
        <w:t>We strongly recommend that ISED facilitate a process through which licensees can collaboratively determine the most appropriate process</w:t>
      </w:r>
      <w:r w:rsidR="007E111E">
        <w:rPr>
          <w:rFonts w:cs="Arial"/>
          <w:szCs w:val="22"/>
        </w:rPr>
        <w:t xml:space="preserve"> which considers</w:t>
      </w:r>
      <w:r w:rsidRPr="00D94E50">
        <w:rPr>
          <w:rFonts w:cs="Arial"/>
          <w:szCs w:val="22"/>
        </w:rPr>
        <w:t xml:space="preserve"> equipment availability, capital planning cycles, and the operational realities of managing a band-wide technology transition.</w:t>
      </w:r>
    </w:p>
    <w:p w14:paraId="617B51AD" w14:textId="4B9782D7" w:rsidR="003539B9" w:rsidRDefault="003539B9">
      <w:pPr>
        <w:widowControl/>
        <w:tabs>
          <w:tab w:val="clear" w:pos="720"/>
        </w:tabs>
        <w:spacing w:after="160" w:line="259" w:lineRule="auto"/>
        <w:rPr>
          <w:rFonts w:cs="Arial"/>
          <w:szCs w:val="22"/>
        </w:rPr>
      </w:pPr>
      <w:r>
        <w:rPr>
          <w:rFonts w:cs="Arial"/>
          <w:szCs w:val="22"/>
        </w:rPr>
        <w:br w:type="page"/>
      </w:r>
    </w:p>
    <w:p w14:paraId="28D611B7" w14:textId="77777777" w:rsidR="00C37046" w:rsidRPr="00C37046" w:rsidRDefault="00C37046" w:rsidP="00C37046">
      <w:pPr>
        <w:pStyle w:val="Heading1"/>
      </w:pPr>
      <w:bookmarkStart w:id="6" w:name="_Toc225843476"/>
      <w:r w:rsidRPr="00C37046">
        <w:lastRenderedPageBreak/>
        <w:t>EXISTING 2500 MHZ DEPLOYMENT REQUIREMENTS</w:t>
      </w:r>
      <w:bookmarkEnd w:id="6"/>
    </w:p>
    <w:p w14:paraId="420F0142" w14:textId="77777777" w:rsidR="00C37046" w:rsidRDefault="00C37046" w:rsidP="00C37046">
      <w:pPr>
        <w:widowControl/>
        <w:tabs>
          <w:tab w:val="clear" w:pos="720"/>
        </w:tabs>
        <w:spacing w:line="360" w:lineRule="auto"/>
        <w:jc w:val="both"/>
        <w:rPr>
          <w:rFonts w:cs="Arial"/>
          <w:szCs w:val="22"/>
        </w:rPr>
      </w:pPr>
    </w:p>
    <w:p w14:paraId="3BC970C5" w14:textId="77777777" w:rsidR="00C37046" w:rsidRPr="00C37046" w:rsidRDefault="00C37046" w:rsidP="00C37046">
      <w:pPr>
        <w:ind w:left="709" w:hanging="709"/>
        <w:jc w:val="both"/>
        <w:rPr>
          <w:rFonts w:cs="Arial"/>
          <w:b/>
          <w:bCs/>
          <w:iCs/>
          <w:szCs w:val="22"/>
        </w:rPr>
      </w:pPr>
      <w:r w:rsidRPr="00C37046">
        <w:rPr>
          <w:rFonts w:cs="Arial"/>
          <w:b/>
          <w:bCs/>
          <w:iCs/>
          <w:szCs w:val="22"/>
        </w:rPr>
        <w:t>Q3.</w:t>
      </w:r>
      <w:r w:rsidRPr="00C37046">
        <w:rPr>
          <w:rFonts w:cs="Arial"/>
          <w:b/>
          <w:bCs/>
          <w:iCs/>
          <w:szCs w:val="22"/>
        </w:rPr>
        <w:tab/>
        <w:t>ISED is seeking comments on whether deployment requirements should be adjusted in anticipation of transition to the new band plan.</w:t>
      </w:r>
    </w:p>
    <w:p w14:paraId="0312D4D3" w14:textId="77777777" w:rsidR="00C37046" w:rsidRPr="00D94E50" w:rsidRDefault="00C37046" w:rsidP="00C37046">
      <w:pPr>
        <w:widowControl/>
        <w:tabs>
          <w:tab w:val="clear" w:pos="720"/>
        </w:tabs>
        <w:spacing w:line="360" w:lineRule="auto"/>
        <w:jc w:val="both"/>
        <w:rPr>
          <w:rFonts w:cs="Arial"/>
          <w:szCs w:val="22"/>
        </w:rPr>
      </w:pPr>
    </w:p>
    <w:p w14:paraId="731B902D" w14:textId="3B01F85D" w:rsidR="00A02A92" w:rsidRPr="00D94E50" w:rsidRDefault="00A02A92" w:rsidP="00A02A92">
      <w:pPr>
        <w:widowControl/>
        <w:numPr>
          <w:ilvl w:val="0"/>
          <w:numId w:val="1"/>
        </w:numPr>
        <w:spacing w:line="360" w:lineRule="auto"/>
        <w:jc w:val="both"/>
        <w:rPr>
          <w:rFonts w:cs="Arial"/>
          <w:szCs w:val="22"/>
        </w:rPr>
      </w:pPr>
      <w:r w:rsidRPr="00D94E50">
        <w:rPr>
          <w:rFonts w:cs="Arial"/>
          <w:szCs w:val="22"/>
        </w:rPr>
        <w:t>We recommend that ISED impose a hold on the enforcement of deployment requirements effective as of the date of ISED</w:t>
      </w:r>
      <w:r>
        <w:rPr>
          <w:rFonts w:cs="Arial"/>
          <w:szCs w:val="22"/>
        </w:rPr>
        <w:t>'</w:t>
      </w:r>
      <w:r w:rsidRPr="00D94E50">
        <w:rPr>
          <w:rFonts w:cs="Arial"/>
          <w:szCs w:val="22"/>
        </w:rPr>
        <w:t xml:space="preserve">s decision on this consultation. </w:t>
      </w:r>
      <w:r w:rsidR="009171CB">
        <w:rPr>
          <w:rFonts w:cs="Arial"/>
          <w:szCs w:val="22"/>
        </w:rPr>
        <w:t xml:space="preserve"> </w:t>
      </w:r>
      <w:r w:rsidR="0014580C">
        <w:rPr>
          <w:rFonts w:cs="Arial"/>
          <w:szCs w:val="22"/>
        </w:rPr>
        <w:t>Existing 2500 MHz spectrum l</w:t>
      </w:r>
      <w:r w:rsidRPr="00D94E50">
        <w:rPr>
          <w:rFonts w:cs="Arial"/>
          <w:szCs w:val="22"/>
        </w:rPr>
        <w:t xml:space="preserve">icensees should not be compelled to invest further in a technology that is not compatible with the new 2500 MHz spectrum band plan. </w:t>
      </w:r>
      <w:r w:rsidR="009171CB">
        <w:rPr>
          <w:rFonts w:cs="Arial"/>
          <w:szCs w:val="22"/>
        </w:rPr>
        <w:t xml:space="preserve"> </w:t>
      </w:r>
      <w:r w:rsidRPr="00D94E50">
        <w:rPr>
          <w:rFonts w:cs="Arial"/>
          <w:szCs w:val="22"/>
        </w:rPr>
        <w:t>Directing capital toward Band 7 or Band 38 deployments that will soon be rendered obsolete would represent an inefficient use of resources that could otherwise be directed toward new Band 41 infrastructure.</w:t>
      </w:r>
      <w:r w:rsidR="009171CB">
        <w:rPr>
          <w:rFonts w:cs="Arial"/>
          <w:szCs w:val="22"/>
        </w:rPr>
        <w:t xml:space="preserve"> </w:t>
      </w:r>
      <w:r w:rsidRPr="00D94E50">
        <w:rPr>
          <w:rFonts w:cs="Arial"/>
          <w:szCs w:val="22"/>
        </w:rPr>
        <w:t xml:space="preserve"> Therefore, we support ISED</w:t>
      </w:r>
      <w:r>
        <w:rPr>
          <w:rFonts w:cs="Arial"/>
          <w:szCs w:val="22"/>
        </w:rPr>
        <w:t>'</w:t>
      </w:r>
      <w:r w:rsidRPr="00D94E50">
        <w:rPr>
          <w:rFonts w:cs="Arial"/>
          <w:szCs w:val="22"/>
        </w:rPr>
        <w:t xml:space="preserve">s proposal to </w:t>
      </w:r>
      <w:r>
        <w:rPr>
          <w:rFonts w:cs="Arial"/>
          <w:szCs w:val="22"/>
        </w:rPr>
        <w:t>"</w:t>
      </w:r>
      <w:r w:rsidRPr="00D94E50">
        <w:rPr>
          <w:rFonts w:cs="Arial"/>
          <w:szCs w:val="22"/>
        </w:rPr>
        <w:t>not verify compliance with deployment requirements until the decision on the transition plan is published.</w:t>
      </w:r>
      <w:r>
        <w:rPr>
          <w:rFonts w:cs="Arial"/>
          <w:szCs w:val="22"/>
        </w:rPr>
        <w:t>"</w:t>
      </w:r>
      <w:r w:rsidRPr="00D94E50">
        <w:rPr>
          <w:rStyle w:val="FootnoteReference"/>
          <w:rFonts w:cs="Arial"/>
          <w:szCs w:val="22"/>
        </w:rPr>
        <w:footnoteReference w:id="4"/>
      </w:r>
    </w:p>
    <w:p w14:paraId="0377155F" w14:textId="77777777" w:rsidR="00A02A92" w:rsidRPr="00D94E50" w:rsidRDefault="00A02A92" w:rsidP="00A02A92">
      <w:pPr>
        <w:widowControl/>
        <w:tabs>
          <w:tab w:val="clear" w:pos="720"/>
        </w:tabs>
        <w:spacing w:line="360" w:lineRule="auto"/>
        <w:jc w:val="both"/>
        <w:rPr>
          <w:rFonts w:cs="Arial"/>
          <w:szCs w:val="22"/>
        </w:rPr>
      </w:pPr>
    </w:p>
    <w:p w14:paraId="0A7B9D47" w14:textId="72F5C1AF" w:rsidR="00A02A92" w:rsidRPr="00D94E50" w:rsidRDefault="00A02A92" w:rsidP="00A02A92">
      <w:pPr>
        <w:widowControl/>
        <w:numPr>
          <w:ilvl w:val="0"/>
          <w:numId w:val="1"/>
        </w:numPr>
        <w:spacing w:line="360" w:lineRule="auto"/>
        <w:jc w:val="both"/>
        <w:rPr>
          <w:rFonts w:cs="Arial"/>
          <w:szCs w:val="22"/>
        </w:rPr>
      </w:pPr>
      <w:r w:rsidRPr="00D94E50">
        <w:rPr>
          <w:rFonts w:cs="Arial"/>
          <w:szCs w:val="22"/>
        </w:rPr>
        <w:t xml:space="preserve">In addition, we recommend that once the transition begins in </w:t>
      </w:r>
      <w:r w:rsidR="0014580C">
        <w:rPr>
          <w:rFonts w:cs="Arial"/>
          <w:szCs w:val="22"/>
        </w:rPr>
        <w:t>each</w:t>
      </w:r>
      <w:r w:rsidRPr="00D94E50">
        <w:rPr>
          <w:rFonts w:cs="Arial"/>
          <w:szCs w:val="22"/>
        </w:rPr>
        <w:t xml:space="preserve"> region, deployment requirements should be suspended entirely until the applicable </w:t>
      </w:r>
      <w:r w:rsidR="001636DC">
        <w:rPr>
          <w:rFonts w:cs="Arial"/>
          <w:szCs w:val="22"/>
        </w:rPr>
        <w:t xml:space="preserve">transition </w:t>
      </w:r>
      <w:r w:rsidRPr="00D94E50">
        <w:rPr>
          <w:rFonts w:cs="Arial"/>
          <w:szCs w:val="22"/>
        </w:rPr>
        <w:t xml:space="preserve">deadline for that region has passed as mobile network operators require time to deploy entirely new TDD equipment to replace their existing Band 7 and Band 38 equipment. </w:t>
      </w:r>
      <w:r w:rsidR="009171CB">
        <w:rPr>
          <w:rFonts w:cs="Arial"/>
          <w:szCs w:val="22"/>
        </w:rPr>
        <w:t xml:space="preserve"> </w:t>
      </w:r>
      <w:r w:rsidRPr="00D94E50">
        <w:rPr>
          <w:rFonts w:cs="Arial"/>
          <w:szCs w:val="22"/>
        </w:rPr>
        <w:t xml:space="preserve">Requiring licensees to continue meeting deployment </w:t>
      </w:r>
      <w:r w:rsidR="001636DC">
        <w:rPr>
          <w:rFonts w:cs="Arial"/>
          <w:szCs w:val="22"/>
        </w:rPr>
        <w:t>requirements</w:t>
      </w:r>
      <w:r w:rsidR="001636DC" w:rsidRPr="00D94E50">
        <w:rPr>
          <w:rFonts w:cs="Arial"/>
          <w:szCs w:val="22"/>
        </w:rPr>
        <w:t xml:space="preserve"> </w:t>
      </w:r>
      <w:r w:rsidRPr="00D94E50">
        <w:rPr>
          <w:rFonts w:cs="Arial"/>
          <w:szCs w:val="22"/>
        </w:rPr>
        <w:t xml:space="preserve">based on legacy equipment during a period in which that </w:t>
      </w:r>
      <w:r w:rsidR="001636DC">
        <w:rPr>
          <w:rFonts w:cs="Arial"/>
          <w:szCs w:val="22"/>
        </w:rPr>
        <w:t>equipment</w:t>
      </w:r>
      <w:r w:rsidRPr="00D94E50">
        <w:rPr>
          <w:rFonts w:cs="Arial"/>
          <w:szCs w:val="22"/>
        </w:rPr>
        <w:t xml:space="preserve"> is being decommissioned and replaced would be impractical and counterproductive.</w:t>
      </w:r>
    </w:p>
    <w:p w14:paraId="434D765F" w14:textId="77777777" w:rsidR="00A02A92" w:rsidRPr="00D94E50" w:rsidRDefault="00A02A92" w:rsidP="00A02A92">
      <w:pPr>
        <w:widowControl/>
        <w:tabs>
          <w:tab w:val="clear" w:pos="720"/>
        </w:tabs>
        <w:spacing w:line="360" w:lineRule="auto"/>
        <w:jc w:val="both"/>
        <w:rPr>
          <w:rFonts w:cs="Arial"/>
          <w:szCs w:val="22"/>
        </w:rPr>
      </w:pPr>
    </w:p>
    <w:p w14:paraId="0DC30297" w14:textId="0C89BC06" w:rsidR="00A02A92" w:rsidRDefault="00A02A92" w:rsidP="00A02A92">
      <w:pPr>
        <w:widowControl/>
        <w:numPr>
          <w:ilvl w:val="0"/>
          <w:numId w:val="1"/>
        </w:numPr>
        <w:spacing w:line="360" w:lineRule="auto"/>
        <w:jc w:val="both"/>
        <w:rPr>
          <w:rFonts w:cs="Arial"/>
          <w:szCs w:val="22"/>
        </w:rPr>
      </w:pPr>
      <w:r w:rsidRPr="00D94E50">
        <w:rPr>
          <w:rFonts w:cs="Arial"/>
          <w:szCs w:val="22"/>
        </w:rPr>
        <w:t xml:space="preserve">We further recommend that ISED provide 2500 MHz spectrum licensees with a five-year period following the transition deadline in each region to meet the existing deployment requirements using the new Band 41 TDD infrastructure. </w:t>
      </w:r>
      <w:r w:rsidR="009171CB">
        <w:rPr>
          <w:rFonts w:cs="Arial"/>
          <w:szCs w:val="22"/>
        </w:rPr>
        <w:t xml:space="preserve"> </w:t>
      </w:r>
      <w:r w:rsidRPr="00D94E50">
        <w:rPr>
          <w:rFonts w:cs="Arial"/>
          <w:szCs w:val="22"/>
        </w:rPr>
        <w:t xml:space="preserve">This grace period would allow mobile network operators to meet their 2500 MHz spectrum deployment obligations for the band through gradual, planned investments in Band 41 equipment, rather than being compelled to deploy across all sites immediately upon the transition </w:t>
      </w:r>
      <w:r w:rsidR="002614BE">
        <w:rPr>
          <w:rFonts w:cs="Arial"/>
          <w:szCs w:val="22"/>
        </w:rPr>
        <w:t>deadline</w:t>
      </w:r>
      <w:r w:rsidRPr="00D94E50">
        <w:rPr>
          <w:rFonts w:cs="Arial"/>
          <w:szCs w:val="22"/>
        </w:rPr>
        <w:t>.</w:t>
      </w:r>
      <w:r w:rsidR="009171CB">
        <w:rPr>
          <w:rFonts w:cs="Arial"/>
          <w:szCs w:val="22"/>
        </w:rPr>
        <w:t xml:space="preserve"> </w:t>
      </w:r>
      <w:r w:rsidRPr="00D94E50">
        <w:rPr>
          <w:rFonts w:cs="Arial"/>
          <w:szCs w:val="22"/>
        </w:rPr>
        <w:t xml:space="preserve"> A five-year post-transition deployment requirement will enable mobile network operators to manage capital expenditure responsibly, prioritize deployment in areas of greatest need, and ensure that the new TDD infrastructure is rolled out in a sustainable and orderly manner across each region.</w:t>
      </w:r>
    </w:p>
    <w:p w14:paraId="538A0BD2" w14:textId="1093F5F5" w:rsidR="00B21B30" w:rsidRDefault="00B21B30">
      <w:pPr>
        <w:widowControl/>
        <w:tabs>
          <w:tab w:val="clear" w:pos="720"/>
        </w:tabs>
        <w:spacing w:after="160" w:line="259" w:lineRule="auto"/>
        <w:rPr>
          <w:rFonts w:cs="Arial"/>
          <w:szCs w:val="22"/>
        </w:rPr>
      </w:pPr>
      <w:r>
        <w:rPr>
          <w:rFonts w:cs="Arial"/>
          <w:szCs w:val="22"/>
        </w:rPr>
        <w:br w:type="page"/>
      </w:r>
    </w:p>
    <w:p w14:paraId="3647A4C7" w14:textId="77777777" w:rsidR="00A02A92" w:rsidRPr="00A02A92" w:rsidRDefault="00A02A92" w:rsidP="00A02A92">
      <w:pPr>
        <w:pStyle w:val="Heading1"/>
      </w:pPr>
      <w:bookmarkStart w:id="7" w:name="_Toc225843477"/>
      <w:r w:rsidRPr="00A02A92">
        <w:lastRenderedPageBreak/>
        <w:t>TRANSITION PLAN IMPLEMENTATION</w:t>
      </w:r>
      <w:bookmarkEnd w:id="7"/>
    </w:p>
    <w:p w14:paraId="4803CC31" w14:textId="77777777" w:rsidR="00A02A92" w:rsidRDefault="00A02A92" w:rsidP="00A02A92">
      <w:pPr>
        <w:widowControl/>
        <w:tabs>
          <w:tab w:val="clear" w:pos="720"/>
        </w:tabs>
        <w:spacing w:line="360" w:lineRule="auto"/>
        <w:jc w:val="both"/>
        <w:rPr>
          <w:rFonts w:cs="Arial"/>
          <w:szCs w:val="22"/>
        </w:rPr>
      </w:pPr>
    </w:p>
    <w:p w14:paraId="02221EFA" w14:textId="77777777" w:rsidR="00A02A92" w:rsidRDefault="00A02A92" w:rsidP="00A02A92">
      <w:pPr>
        <w:ind w:left="709" w:hanging="709"/>
        <w:jc w:val="both"/>
        <w:rPr>
          <w:rFonts w:cs="Arial"/>
          <w:b/>
          <w:bCs/>
          <w:iCs/>
          <w:szCs w:val="22"/>
        </w:rPr>
      </w:pPr>
      <w:r w:rsidRPr="007C3E5F">
        <w:rPr>
          <w:rFonts w:cs="Arial"/>
          <w:b/>
          <w:bCs/>
          <w:iCs/>
          <w:szCs w:val="22"/>
        </w:rPr>
        <w:t>Q4.</w:t>
      </w:r>
      <w:r w:rsidRPr="007C3E5F">
        <w:rPr>
          <w:rFonts w:cs="Arial"/>
          <w:b/>
          <w:bCs/>
          <w:iCs/>
          <w:szCs w:val="22"/>
        </w:rPr>
        <w:tab/>
        <w:t>ISED is seeking preliminary comments on a transition plan to the proposed band plan, including:</w:t>
      </w:r>
    </w:p>
    <w:p w14:paraId="107E68DE" w14:textId="77777777" w:rsidR="007C3E5F" w:rsidRPr="007C3E5F" w:rsidRDefault="007C3E5F" w:rsidP="007C3E5F">
      <w:pPr>
        <w:jc w:val="both"/>
        <w:rPr>
          <w:rFonts w:cs="Arial"/>
          <w:b/>
          <w:bCs/>
          <w:iCs/>
          <w:szCs w:val="22"/>
        </w:rPr>
      </w:pPr>
    </w:p>
    <w:p w14:paraId="720B134A" w14:textId="0E061A8F" w:rsidR="00A02A92" w:rsidRDefault="0089328E" w:rsidP="0089328E">
      <w:pPr>
        <w:tabs>
          <w:tab w:val="clear" w:pos="720"/>
        </w:tabs>
        <w:ind w:left="1440" w:hanging="720"/>
        <w:jc w:val="both"/>
        <w:rPr>
          <w:rFonts w:cs="Arial"/>
          <w:b/>
          <w:bCs/>
          <w:iCs/>
          <w:szCs w:val="22"/>
        </w:rPr>
      </w:pPr>
      <w:r>
        <w:rPr>
          <w:rFonts w:cs="Arial"/>
          <w:b/>
          <w:bCs/>
          <w:iCs/>
          <w:szCs w:val="22"/>
        </w:rPr>
        <w:t>a.</w:t>
      </w:r>
      <w:r>
        <w:rPr>
          <w:rFonts w:cs="Arial"/>
          <w:b/>
          <w:bCs/>
          <w:iCs/>
          <w:szCs w:val="22"/>
        </w:rPr>
        <w:tab/>
      </w:r>
      <w:r w:rsidR="00A02A92" w:rsidRPr="0089328E">
        <w:rPr>
          <w:rFonts w:cs="Arial"/>
          <w:b/>
          <w:bCs/>
          <w:iCs/>
          <w:szCs w:val="22"/>
        </w:rPr>
        <w:t>should the transition strategy be implemented on a market-by-market basis across Canada? If so, which regions should be prioritized and how should the timelines be staggered?</w:t>
      </w:r>
    </w:p>
    <w:p w14:paraId="5778B009" w14:textId="77777777" w:rsidR="00316831" w:rsidRDefault="00316831" w:rsidP="00316831">
      <w:pPr>
        <w:tabs>
          <w:tab w:val="clear" w:pos="720"/>
        </w:tabs>
        <w:spacing w:line="360" w:lineRule="auto"/>
        <w:jc w:val="both"/>
        <w:rPr>
          <w:rFonts w:cs="Arial"/>
          <w:iCs/>
          <w:szCs w:val="22"/>
        </w:rPr>
      </w:pPr>
    </w:p>
    <w:p w14:paraId="60ABA82D" w14:textId="5B954AC6" w:rsidR="00316831" w:rsidRPr="00D94E50" w:rsidRDefault="00316831" w:rsidP="00316831">
      <w:pPr>
        <w:widowControl/>
        <w:numPr>
          <w:ilvl w:val="0"/>
          <w:numId w:val="1"/>
        </w:numPr>
        <w:spacing w:line="360" w:lineRule="auto"/>
        <w:jc w:val="both"/>
        <w:rPr>
          <w:rFonts w:cs="Arial"/>
          <w:szCs w:val="22"/>
        </w:rPr>
      </w:pPr>
      <w:r w:rsidRPr="00D94E50">
        <w:rPr>
          <w:rFonts w:cs="Arial"/>
          <w:szCs w:val="22"/>
        </w:rPr>
        <w:t xml:space="preserve">We recommend that the transition be completed on a market-by-market basis as explained in our response to Question 2 above. </w:t>
      </w:r>
      <w:r w:rsidR="009171CB">
        <w:rPr>
          <w:rFonts w:cs="Arial"/>
          <w:szCs w:val="22"/>
        </w:rPr>
        <w:t xml:space="preserve"> </w:t>
      </w:r>
      <w:r w:rsidRPr="00D94E50">
        <w:rPr>
          <w:rFonts w:cs="Arial"/>
          <w:szCs w:val="22"/>
        </w:rPr>
        <w:t xml:space="preserve">This approach will allow mobile network operators the proper amount of time for planning, budgeting, and coordinating work across thousands of sites across the country, including testing equipment prior to deploying it in production environments. </w:t>
      </w:r>
      <w:r w:rsidR="009171CB">
        <w:rPr>
          <w:rFonts w:cs="Arial"/>
          <w:szCs w:val="22"/>
        </w:rPr>
        <w:t xml:space="preserve"> </w:t>
      </w:r>
      <w:r w:rsidRPr="00D94E50">
        <w:rPr>
          <w:rFonts w:cs="Arial"/>
          <w:szCs w:val="22"/>
        </w:rPr>
        <w:t>It also provides time for equipment vendors to bring new products (including potential 6G operability) to market.</w:t>
      </w:r>
      <w:r w:rsidR="009171CB">
        <w:rPr>
          <w:rFonts w:cs="Arial"/>
          <w:szCs w:val="22"/>
        </w:rPr>
        <w:t xml:space="preserve"> </w:t>
      </w:r>
      <w:r w:rsidRPr="00D94E50">
        <w:rPr>
          <w:rFonts w:cs="Arial"/>
          <w:szCs w:val="22"/>
        </w:rPr>
        <w:t xml:space="preserve"> Moreover, the proposed market-by-market transition focuses on the areas most impacted by cross-border interference while also delivering significant 5G capacity upgrades to large metropolitan markets in Ontario and Quebec first.</w:t>
      </w:r>
    </w:p>
    <w:p w14:paraId="345FAB5A" w14:textId="77777777" w:rsidR="00316831" w:rsidRPr="00D94E50" w:rsidRDefault="00316831" w:rsidP="00316831">
      <w:pPr>
        <w:widowControl/>
        <w:spacing w:line="360" w:lineRule="auto"/>
        <w:jc w:val="both"/>
        <w:rPr>
          <w:rFonts w:cs="Arial"/>
          <w:szCs w:val="22"/>
        </w:rPr>
      </w:pPr>
    </w:p>
    <w:p w14:paraId="553D6FD7" w14:textId="6001E2E4" w:rsidR="00316831" w:rsidRPr="00D94E50" w:rsidRDefault="00316831" w:rsidP="00316831">
      <w:pPr>
        <w:widowControl/>
        <w:numPr>
          <w:ilvl w:val="0"/>
          <w:numId w:val="1"/>
        </w:numPr>
        <w:spacing w:line="360" w:lineRule="auto"/>
        <w:jc w:val="both"/>
        <w:rPr>
          <w:rFonts w:cs="Arial"/>
          <w:szCs w:val="22"/>
        </w:rPr>
      </w:pPr>
      <w:r w:rsidRPr="00D94E50">
        <w:rPr>
          <w:rFonts w:cs="Arial"/>
          <w:szCs w:val="22"/>
        </w:rPr>
        <w:t xml:space="preserve">We agree with ISED that </w:t>
      </w:r>
      <w:r>
        <w:rPr>
          <w:rFonts w:cs="Arial"/>
          <w:szCs w:val="22"/>
        </w:rPr>
        <w:t>"</w:t>
      </w:r>
      <w:r w:rsidRPr="00D94E50">
        <w:rPr>
          <w:rFonts w:cs="Arial"/>
          <w:szCs w:val="22"/>
        </w:rPr>
        <w:t>current licensees are best positioned to develop the details of a transition plan that considers existing investments, minimizes service disruption, and delivers long-term benefits for Canadians.</w:t>
      </w:r>
      <w:r>
        <w:rPr>
          <w:rFonts w:cs="Arial"/>
          <w:szCs w:val="22"/>
        </w:rPr>
        <w:t>"</w:t>
      </w:r>
      <w:r w:rsidRPr="00D94E50">
        <w:rPr>
          <w:rStyle w:val="FootnoteReference"/>
          <w:rFonts w:cs="Arial"/>
          <w:szCs w:val="22"/>
        </w:rPr>
        <w:footnoteReference w:id="5"/>
      </w:r>
      <w:r w:rsidRPr="00D94E50">
        <w:rPr>
          <w:rFonts w:cs="Arial"/>
          <w:szCs w:val="22"/>
        </w:rPr>
        <w:t xml:space="preserve"> </w:t>
      </w:r>
      <w:r w:rsidR="00292B05">
        <w:rPr>
          <w:rFonts w:cs="Arial"/>
          <w:szCs w:val="22"/>
        </w:rPr>
        <w:t xml:space="preserve"> </w:t>
      </w:r>
      <w:r w:rsidRPr="00D94E50">
        <w:rPr>
          <w:rFonts w:cs="Arial"/>
          <w:szCs w:val="22"/>
        </w:rPr>
        <w:t>We are confident that existing 2500 MHz spectrum licensees can reach agreement on the timelines and market prioritization for the transition.</w:t>
      </w:r>
      <w:r w:rsidR="00292B05">
        <w:rPr>
          <w:rFonts w:cs="Arial"/>
          <w:szCs w:val="22"/>
        </w:rPr>
        <w:t xml:space="preserve"> </w:t>
      </w:r>
      <w:r w:rsidRPr="00D94E50">
        <w:rPr>
          <w:rFonts w:cs="Arial"/>
          <w:szCs w:val="22"/>
        </w:rPr>
        <w:t xml:space="preserve"> A</w:t>
      </w:r>
      <w:r w:rsidR="00292B05">
        <w:rPr>
          <w:rFonts w:cs="Arial"/>
          <w:szCs w:val="22"/>
        </w:rPr>
        <w:t> </w:t>
      </w:r>
      <w:r w:rsidRPr="00D94E50">
        <w:rPr>
          <w:rFonts w:cs="Arial"/>
          <w:szCs w:val="22"/>
        </w:rPr>
        <w:t>licensee</w:t>
      </w:r>
      <w:r w:rsidR="00292B05">
        <w:rPr>
          <w:rFonts w:cs="Arial"/>
          <w:szCs w:val="22"/>
        </w:rPr>
        <w:noBreakHyphen/>
      </w:r>
      <w:r w:rsidRPr="00D94E50">
        <w:rPr>
          <w:rFonts w:cs="Arial"/>
          <w:szCs w:val="22"/>
        </w:rPr>
        <w:t>driven process is more likely to produce a transition framework that is practical, efficient, and responsive to the operational realities facing each mobile network operator.</w:t>
      </w:r>
    </w:p>
    <w:p w14:paraId="7C2CDAAE" w14:textId="77777777" w:rsidR="0089328E" w:rsidRPr="00316831" w:rsidRDefault="0089328E" w:rsidP="003F5B64">
      <w:pPr>
        <w:tabs>
          <w:tab w:val="clear" w:pos="720"/>
        </w:tabs>
        <w:jc w:val="both"/>
        <w:rPr>
          <w:rFonts w:cs="Arial"/>
          <w:iCs/>
          <w:szCs w:val="22"/>
        </w:rPr>
      </w:pPr>
    </w:p>
    <w:p w14:paraId="2DF0001D" w14:textId="57B9878F" w:rsidR="00A02A92" w:rsidRDefault="0089328E" w:rsidP="0089328E">
      <w:pPr>
        <w:tabs>
          <w:tab w:val="clear" w:pos="720"/>
        </w:tabs>
        <w:ind w:left="1440" w:hanging="720"/>
        <w:jc w:val="both"/>
        <w:rPr>
          <w:rFonts w:cs="Arial"/>
          <w:b/>
          <w:bCs/>
          <w:iCs/>
          <w:szCs w:val="22"/>
        </w:rPr>
      </w:pPr>
      <w:r>
        <w:rPr>
          <w:rFonts w:cs="Arial"/>
          <w:b/>
          <w:bCs/>
          <w:iCs/>
          <w:szCs w:val="22"/>
        </w:rPr>
        <w:t>b.</w:t>
      </w:r>
      <w:r>
        <w:rPr>
          <w:rFonts w:cs="Arial"/>
          <w:b/>
          <w:bCs/>
          <w:iCs/>
          <w:szCs w:val="22"/>
        </w:rPr>
        <w:tab/>
      </w:r>
      <w:r w:rsidR="00A02A92" w:rsidRPr="0089328E">
        <w:rPr>
          <w:rFonts w:cs="Arial"/>
          <w:b/>
          <w:bCs/>
          <w:iCs/>
          <w:szCs w:val="22"/>
        </w:rPr>
        <w:t>should certain portions of the band, such as the Canadian FDD uplink spectrum, be prioritized first during the transition?</w:t>
      </w:r>
    </w:p>
    <w:p w14:paraId="08FEB19A" w14:textId="77777777" w:rsidR="0089328E" w:rsidRDefault="0089328E" w:rsidP="00CE70FB">
      <w:pPr>
        <w:tabs>
          <w:tab w:val="clear" w:pos="720"/>
        </w:tabs>
        <w:spacing w:line="360" w:lineRule="auto"/>
        <w:jc w:val="both"/>
        <w:rPr>
          <w:rFonts w:cs="Arial"/>
          <w:iCs/>
          <w:szCs w:val="22"/>
        </w:rPr>
      </w:pPr>
    </w:p>
    <w:p w14:paraId="07F3D13E" w14:textId="3574439C" w:rsidR="00CE70FB" w:rsidRPr="00D94E50" w:rsidRDefault="00CE70FB" w:rsidP="00CE70FB">
      <w:pPr>
        <w:widowControl/>
        <w:numPr>
          <w:ilvl w:val="0"/>
          <w:numId w:val="1"/>
        </w:numPr>
        <w:spacing w:line="360" w:lineRule="auto"/>
        <w:jc w:val="both"/>
        <w:rPr>
          <w:rFonts w:cs="Arial"/>
          <w:szCs w:val="22"/>
        </w:rPr>
      </w:pPr>
      <w:r w:rsidRPr="00D94E50">
        <w:rPr>
          <w:rFonts w:cs="Arial"/>
          <w:szCs w:val="22"/>
        </w:rPr>
        <w:t xml:space="preserve">We do not support the prioritization of certain portions of the </w:t>
      </w:r>
      <w:r w:rsidR="00DB10E9">
        <w:rPr>
          <w:rFonts w:cs="Arial"/>
          <w:szCs w:val="22"/>
        </w:rPr>
        <w:t xml:space="preserve">spectrum </w:t>
      </w:r>
      <w:r w:rsidRPr="00D94E50">
        <w:rPr>
          <w:rFonts w:cs="Arial"/>
          <w:szCs w:val="22"/>
        </w:rPr>
        <w:t xml:space="preserve">band during the transition. </w:t>
      </w:r>
      <w:r w:rsidR="00292B05">
        <w:rPr>
          <w:rFonts w:cs="Arial"/>
          <w:szCs w:val="22"/>
        </w:rPr>
        <w:t xml:space="preserve"> </w:t>
      </w:r>
      <w:r w:rsidRPr="00D94E50">
        <w:rPr>
          <w:rFonts w:cs="Arial"/>
          <w:szCs w:val="22"/>
        </w:rPr>
        <w:t xml:space="preserve">As currently configured, the 2500 MHz spectrum band can be viewed as comprising three sub-bands: </w:t>
      </w:r>
      <w:r w:rsidR="00E83700">
        <w:rPr>
          <w:rFonts w:cs="Arial"/>
          <w:szCs w:val="22"/>
        </w:rPr>
        <w:t xml:space="preserve"> </w:t>
      </w:r>
      <w:r w:rsidRPr="00D94E50">
        <w:rPr>
          <w:rFonts w:cs="Arial"/>
          <w:szCs w:val="22"/>
        </w:rPr>
        <w:t xml:space="preserve">(i) the Band 7 FDD uplink portion (2500-2570 MHz), (ii) the Band 38 TDD portion (2570-2620 MHz), which sits between the uplink and downlink segments of Band 7, and (iii) the Band 7 FDD downlink portion (2620-2690 MHz). </w:t>
      </w:r>
      <w:r w:rsidR="00E83700">
        <w:rPr>
          <w:rFonts w:cs="Arial"/>
          <w:szCs w:val="22"/>
        </w:rPr>
        <w:t xml:space="preserve"> </w:t>
      </w:r>
      <w:r w:rsidRPr="00D94E50">
        <w:rPr>
          <w:rFonts w:cs="Arial"/>
          <w:szCs w:val="22"/>
        </w:rPr>
        <w:t xml:space="preserve">While subject to stakeholder negotiations, we recommend that the transition consist of the following process within each market. </w:t>
      </w:r>
      <w:r w:rsidR="00E83700">
        <w:rPr>
          <w:rFonts w:cs="Arial"/>
          <w:szCs w:val="22"/>
        </w:rPr>
        <w:t xml:space="preserve"> </w:t>
      </w:r>
      <w:r w:rsidRPr="00D94E50">
        <w:rPr>
          <w:rFonts w:cs="Arial"/>
          <w:szCs w:val="22"/>
        </w:rPr>
        <w:t>Starting shortly after the decision to this consultation, licensees will continue to be allowed to use Band 7 FDD operations in their existing 2500 MHz spectrum</w:t>
      </w:r>
      <w:r w:rsidR="00E07756">
        <w:rPr>
          <w:rFonts w:cs="Arial"/>
          <w:szCs w:val="22"/>
        </w:rPr>
        <w:t xml:space="preserve"> licence</w:t>
      </w:r>
      <w:r w:rsidRPr="00D94E50">
        <w:rPr>
          <w:rFonts w:cs="Arial"/>
          <w:szCs w:val="22"/>
        </w:rPr>
        <w:t xml:space="preserve"> frequencies.</w:t>
      </w:r>
      <w:r w:rsidR="00E83700">
        <w:rPr>
          <w:rFonts w:cs="Arial"/>
          <w:szCs w:val="22"/>
        </w:rPr>
        <w:t xml:space="preserve"> </w:t>
      </w:r>
      <w:r w:rsidRPr="00D94E50">
        <w:rPr>
          <w:rFonts w:cs="Arial"/>
          <w:szCs w:val="22"/>
        </w:rPr>
        <w:t xml:space="preserve"> However, at the 2500 MHz spectrum licensees</w:t>
      </w:r>
      <w:r>
        <w:rPr>
          <w:rFonts w:cs="Arial"/>
          <w:szCs w:val="22"/>
        </w:rPr>
        <w:t>'</w:t>
      </w:r>
      <w:r w:rsidRPr="00D94E50">
        <w:rPr>
          <w:rFonts w:cs="Arial"/>
          <w:szCs w:val="22"/>
        </w:rPr>
        <w:t xml:space="preserve"> discretion, they will be allowed to use Band 41 TDD operation in the Band 7 </w:t>
      </w:r>
      <w:r w:rsidRPr="00D94E50">
        <w:rPr>
          <w:rFonts w:cs="Arial"/>
          <w:szCs w:val="22"/>
        </w:rPr>
        <w:lastRenderedPageBreak/>
        <w:t xml:space="preserve">downlink portion of the 2500 MHz spectrum band but only as supplemental downlink (i.e., there will be no Band 41 uplink use). </w:t>
      </w:r>
      <w:r w:rsidR="00E83700">
        <w:rPr>
          <w:rFonts w:cs="Arial"/>
          <w:szCs w:val="22"/>
        </w:rPr>
        <w:t xml:space="preserve"> </w:t>
      </w:r>
      <w:r w:rsidRPr="00D94E50">
        <w:rPr>
          <w:rFonts w:cs="Arial"/>
          <w:szCs w:val="22"/>
        </w:rPr>
        <w:t xml:space="preserve">This hybrid band plan will remain in place until the industry determined transition deadline, at which point there will be a complete switch from FDD operations to TDD operations. </w:t>
      </w:r>
      <w:r w:rsidR="00E83700">
        <w:rPr>
          <w:rFonts w:cs="Arial"/>
          <w:szCs w:val="22"/>
        </w:rPr>
        <w:t xml:space="preserve"> </w:t>
      </w:r>
      <w:r w:rsidRPr="00D94E50">
        <w:rPr>
          <w:rFonts w:cs="Arial"/>
          <w:szCs w:val="22"/>
        </w:rPr>
        <w:t xml:space="preserve">To be clear, it is only at the transition deadline that mobile network operators will switch from their 2500 MHz FDD frequencies to their </w:t>
      </w:r>
      <w:r w:rsidR="00923C35">
        <w:rPr>
          <w:rFonts w:cs="Arial"/>
          <w:szCs w:val="22"/>
        </w:rPr>
        <w:t xml:space="preserve">new </w:t>
      </w:r>
      <w:r w:rsidRPr="00D94E50">
        <w:rPr>
          <w:rFonts w:cs="Arial"/>
          <w:szCs w:val="22"/>
        </w:rPr>
        <w:t xml:space="preserve">2500 MHz TDD frequencies. </w:t>
      </w:r>
      <w:r w:rsidR="00E83700">
        <w:rPr>
          <w:rFonts w:cs="Arial"/>
          <w:szCs w:val="22"/>
        </w:rPr>
        <w:t xml:space="preserve"> </w:t>
      </w:r>
      <w:r w:rsidRPr="00D94E50">
        <w:rPr>
          <w:rFonts w:cs="Arial"/>
          <w:szCs w:val="22"/>
        </w:rPr>
        <w:t>Up to the transition deadline, 2500 MHz spectrum licensees will continue to operate on their currently licensed 2500 MHz frequencies.</w:t>
      </w:r>
    </w:p>
    <w:p w14:paraId="2FAEF351" w14:textId="77777777" w:rsidR="00CE70FB" w:rsidRPr="00D94E50" w:rsidRDefault="00CE70FB" w:rsidP="00CE70FB">
      <w:pPr>
        <w:widowControl/>
        <w:spacing w:line="360" w:lineRule="auto"/>
        <w:jc w:val="both"/>
        <w:rPr>
          <w:rFonts w:cs="Arial"/>
          <w:szCs w:val="22"/>
        </w:rPr>
      </w:pPr>
    </w:p>
    <w:p w14:paraId="65B94251" w14:textId="4F7F3A16" w:rsidR="00CE70FB" w:rsidRPr="00D94E50" w:rsidRDefault="00CE70FB" w:rsidP="00CE70FB">
      <w:pPr>
        <w:widowControl/>
        <w:numPr>
          <w:ilvl w:val="0"/>
          <w:numId w:val="1"/>
        </w:numPr>
        <w:spacing w:line="360" w:lineRule="auto"/>
        <w:jc w:val="both"/>
        <w:rPr>
          <w:rFonts w:cs="Arial"/>
          <w:szCs w:val="22"/>
        </w:rPr>
      </w:pPr>
      <w:r w:rsidRPr="00D94E50">
        <w:rPr>
          <w:rFonts w:cs="Arial"/>
          <w:szCs w:val="22"/>
        </w:rPr>
        <w:t xml:space="preserve">At the transition deadline for each market, the entire 2500 MHz band </w:t>
      </w:r>
      <w:r w:rsidR="00B7505A">
        <w:rPr>
          <w:rFonts w:cs="Arial"/>
          <w:szCs w:val="22"/>
        </w:rPr>
        <w:t xml:space="preserve">in that market </w:t>
      </w:r>
      <w:r w:rsidRPr="00D94E50">
        <w:rPr>
          <w:rFonts w:cs="Arial"/>
          <w:szCs w:val="22"/>
        </w:rPr>
        <w:t>will operate as TDD Band 41, and 2500 MHz spectrum licensees would move to contiguous frequency block assignments within the new band plan as negotiated by existing licensees.</w:t>
      </w:r>
    </w:p>
    <w:p w14:paraId="0F31F9BE" w14:textId="77777777" w:rsidR="00CE70FB" w:rsidRPr="00D94E50" w:rsidRDefault="00CE70FB" w:rsidP="00CE70FB">
      <w:pPr>
        <w:widowControl/>
        <w:spacing w:line="360" w:lineRule="auto"/>
        <w:jc w:val="both"/>
        <w:rPr>
          <w:rFonts w:cs="Arial"/>
          <w:szCs w:val="22"/>
        </w:rPr>
      </w:pPr>
    </w:p>
    <w:p w14:paraId="0B46991C" w14:textId="2034C792" w:rsidR="00CE70FB" w:rsidRPr="00D94E50" w:rsidRDefault="00CE70FB" w:rsidP="00CE70FB">
      <w:pPr>
        <w:widowControl/>
        <w:numPr>
          <w:ilvl w:val="0"/>
          <w:numId w:val="1"/>
        </w:numPr>
        <w:spacing w:line="360" w:lineRule="auto"/>
        <w:jc w:val="both"/>
        <w:rPr>
          <w:rFonts w:cs="Arial"/>
          <w:szCs w:val="22"/>
        </w:rPr>
      </w:pPr>
      <w:r w:rsidRPr="00D94E50">
        <w:rPr>
          <w:rFonts w:cs="Arial"/>
          <w:szCs w:val="22"/>
        </w:rPr>
        <w:t xml:space="preserve">The phased-in approach outlined above offers a practical solution for managing the transition by ensuring minimum disruption to existing services and allowing flexibility for 2500 MHz spectrum licensees to manage the changeover at a pace that suits their operational and capital planning requirements. </w:t>
      </w:r>
      <w:r w:rsidR="00E83700">
        <w:rPr>
          <w:rFonts w:cs="Arial"/>
          <w:szCs w:val="22"/>
        </w:rPr>
        <w:t xml:space="preserve"> </w:t>
      </w:r>
      <w:r w:rsidRPr="00D94E50">
        <w:rPr>
          <w:rFonts w:cs="Arial"/>
          <w:szCs w:val="22"/>
        </w:rPr>
        <w:t xml:space="preserve">Prioritizing certain portions of the band while delaying the transition of others would yield no meaningful benefits and would instead create a disjointed band configuration resulting in sub-optimal use of the spectrum. </w:t>
      </w:r>
      <w:r w:rsidR="00E83700">
        <w:rPr>
          <w:rFonts w:cs="Arial"/>
          <w:szCs w:val="22"/>
        </w:rPr>
        <w:t xml:space="preserve"> </w:t>
      </w:r>
      <w:r w:rsidRPr="00D94E50">
        <w:rPr>
          <w:rFonts w:cs="Arial"/>
          <w:szCs w:val="22"/>
        </w:rPr>
        <w:t>Such an approach would also require additional engineering analysis and deployment rework, as mobile network operators would need to plan and execute multiple partial transitions rather than a single coordinated migration to Band</w:t>
      </w:r>
      <w:r w:rsidR="00E83700">
        <w:rPr>
          <w:rFonts w:cs="Arial"/>
          <w:szCs w:val="22"/>
        </w:rPr>
        <w:t> </w:t>
      </w:r>
      <w:r w:rsidRPr="00D94E50">
        <w:rPr>
          <w:rFonts w:cs="Arial"/>
          <w:szCs w:val="22"/>
        </w:rPr>
        <w:t>41 TDD across the full 2500 MHz spectrum band.</w:t>
      </w:r>
    </w:p>
    <w:p w14:paraId="574EDFFD" w14:textId="77777777" w:rsidR="00CE70FB" w:rsidRPr="00CE70FB" w:rsidRDefault="00CE70FB" w:rsidP="003F5B64">
      <w:pPr>
        <w:tabs>
          <w:tab w:val="clear" w:pos="720"/>
        </w:tabs>
        <w:jc w:val="both"/>
        <w:rPr>
          <w:rFonts w:cs="Arial"/>
          <w:iCs/>
          <w:szCs w:val="22"/>
        </w:rPr>
      </w:pPr>
    </w:p>
    <w:p w14:paraId="6B41173F" w14:textId="7104EACC" w:rsidR="00A02A92" w:rsidRDefault="0089328E" w:rsidP="0089328E">
      <w:pPr>
        <w:tabs>
          <w:tab w:val="clear" w:pos="720"/>
        </w:tabs>
        <w:ind w:left="1440" w:hanging="720"/>
        <w:jc w:val="both"/>
        <w:rPr>
          <w:rFonts w:cs="Arial"/>
          <w:b/>
          <w:bCs/>
          <w:iCs/>
          <w:szCs w:val="22"/>
        </w:rPr>
      </w:pPr>
      <w:r>
        <w:rPr>
          <w:rFonts w:cs="Arial"/>
          <w:b/>
          <w:bCs/>
          <w:iCs/>
          <w:szCs w:val="22"/>
        </w:rPr>
        <w:t>c.</w:t>
      </w:r>
      <w:r>
        <w:rPr>
          <w:rFonts w:cs="Arial"/>
          <w:b/>
          <w:bCs/>
          <w:iCs/>
          <w:szCs w:val="22"/>
        </w:rPr>
        <w:tab/>
      </w:r>
      <w:r w:rsidR="00A02A92" w:rsidRPr="0089328E">
        <w:rPr>
          <w:rFonts w:cs="Arial"/>
          <w:b/>
          <w:bCs/>
          <w:iCs/>
          <w:szCs w:val="22"/>
        </w:rPr>
        <w:t>do licensees prefer holding contiguous blocks of spectrum in an unpaired TDD-use band plan? If so, what process is envisioned to enable the exchange of frequency assignments?</w:t>
      </w:r>
    </w:p>
    <w:p w14:paraId="6D636F61" w14:textId="77777777" w:rsidR="0089328E" w:rsidRPr="00B24831" w:rsidRDefault="0089328E" w:rsidP="00B24831">
      <w:pPr>
        <w:tabs>
          <w:tab w:val="clear" w:pos="720"/>
        </w:tabs>
        <w:spacing w:line="360" w:lineRule="auto"/>
        <w:jc w:val="both"/>
        <w:rPr>
          <w:rFonts w:cs="Arial"/>
          <w:iCs/>
          <w:szCs w:val="22"/>
        </w:rPr>
      </w:pPr>
    </w:p>
    <w:p w14:paraId="37155D28" w14:textId="1701FB8D" w:rsidR="00B24831" w:rsidRPr="00D94E50" w:rsidRDefault="00B24831" w:rsidP="00B24831">
      <w:pPr>
        <w:widowControl/>
        <w:numPr>
          <w:ilvl w:val="0"/>
          <w:numId w:val="1"/>
        </w:numPr>
        <w:spacing w:line="360" w:lineRule="auto"/>
        <w:jc w:val="both"/>
        <w:rPr>
          <w:rFonts w:cs="Arial"/>
          <w:szCs w:val="22"/>
        </w:rPr>
      </w:pPr>
      <w:r w:rsidRPr="00D94E50">
        <w:rPr>
          <w:rFonts w:cs="Arial"/>
          <w:szCs w:val="22"/>
        </w:rPr>
        <w:t xml:space="preserve">It is a priority that existing 2500 MHz spectrum license holders obtain contiguous TDD spectrum blocks as part of this transition. </w:t>
      </w:r>
      <w:r w:rsidR="00E83700">
        <w:rPr>
          <w:rFonts w:cs="Arial"/>
          <w:szCs w:val="22"/>
        </w:rPr>
        <w:t xml:space="preserve"> </w:t>
      </w:r>
      <w:r w:rsidRPr="00D94E50">
        <w:rPr>
          <w:rFonts w:cs="Arial"/>
          <w:szCs w:val="22"/>
        </w:rPr>
        <w:t>5G networks are designed to work with large channels and are limited in their aggregation capability when spectrum is fragmented into smaller channels.</w:t>
      </w:r>
    </w:p>
    <w:p w14:paraId="49A39CE0" w14:textId="77777777" w:rsidR="00B24831" w:rsidRPr="00D94E50" w:rsidRDefault="00B24831" w:rsidP="00B24831">
      <w:pPr>
        <w:widowControl/>
        <w:spacing w:line="360" w:lineRule="auto"/>
        <w:jc w:val="both"/>
        <w:rPr>
          <w:rFonts w:cs="Arial"/>
          <w:szCs w:val="22"/>
        </w:rPr>
      </w:pPr>
    </w:p>
    <w:p w14:paraId="24C612F2" w14:textId="6FAE8D55" w:rsidR="00B24831" w:rsidRPr="00D94E50" w:rsidRDefault="00B24831" w:rsidP="00B24831">
      <w:pPr>
        <w:widowControl/>
        <w:numPr>
          <w:ilvl w:val="0"/>
          <w:numId w:val="1"/>
        </w:numPr>
        <w:spacing w:line="360" w:lineRule="auto"/>
        <w:jc w:val="both"/>
        <w:rPr>
          <w:rFonts w:cs="Arial"/>
          <w:szCs w:val="22"/>
        </w:rPr>
      </w:pPr>
      <w:r w:rsidRPr="00D94E50">
        <w:rPr>
          <w:rFonts w:cs="Arial"/>
          <w:szCs w:val="22"/>
        </w:rPr>
        <w:t xml:space="preserve">Currently, FDD licences in the 2500 MHz band consist of paired uplink and downlink blocks that are separated from each other by the Band 38 TDD segment. </w:t>
      </w:r>
      <w:r w:rsidR="00E83700">
        <w:rPr>
          <w:rFonts w:cs="Arial"/>
          <w:szCs w:val="22"/>
        </w:rPr>
        <w:t xml:space="preserve"> </w:t>
      </w:r>
      <w:r w:rsidRPr="00D94E50">
        <w:rPr>
          <w:rFonts w:cs="Arial"/>
          <w:szCs w:val="22"/>
        </w:rPr>
        <w:t xml:space="preserve">Simply converting existing FDD licences to TDD without reassigning frequencies would result in each licensee holding non-contiguous spectrum blocks, one in the former uplink portion and one in the former downlink portion of the band. </w:t>
      </w:r>
      <w:r w:rsidR="00E83700">
        <w:rPr>
          <w:rFonts w:cs="Arial"/>
          <w:szCs w:val="22"/>
        </w:rPr>
        <w:t xml:space="preserve"> </w:t>
      </w:r>
      <w:r w:rsidRPr="00D94E50">
        <w:rPr>
          <w:rFonts w:cs="Arial"/>
          <w:szCs w:val="22"/>
        </w:rPr>
        <w:t xml:space="preserve">This outcome would undermine the spectral efficiency gains that the transition to Band 41 is intended to achieve. </w:t>
      </w:r>
      <w:r w:rsidR="00E83700">
        <w:rPr>
          <w:rFonts w:cs="Arial"/>
          <w:szCs w:val="22"/>
        </w:rPr>
        <w:t xml:space="preserve"> </w:t>
      </w:r>
      <w:r w:rsidRPr="00D94E50">
        <w:rPr>
          <w:rFonts w:cs="Arial"/>
          <w:szCs w:val="22"/>
        </w:rPr>
        <w:t xml:space="preserve">As this benefits all existing 2500 MHz spectrum </w:t>
      </w:r>
      <w:r w:rsidRPr="00D94E50">
        <w:rPr>
          <w:rFonts w:cs="Arial"/>
          <w:szCs w:val="22"/>
        </w:rPr>
        <w:lastRenderedPageBreak/>
        <w:t xml:space="preserve">licensees, we expect that the final negotiated 2500 MHz spectrum band plan will consist of contiguous blocks of spectrum. </w:t>
      </w:r>
      <w:r w:rsidR="00E83700">
        <w:rPr>
          <w:rFonts w:cs="Arial"/>
          <w:szCs w:val="22"/>
        </w:rPr>
        <w:t xml:space="preserve"> </w:t>
      </w:r>
      <w:r w:rsidRPr="00D94E50">
        <w:rPr>
          <w:rFonts w:cs="Arial"/>
          <w:szCs w:val="22"/>
        </w:rPr>
        <w:t>Therefore, for all existing 2500 MHz spectrum licensees to obtain contiguous spectrum, all mobile network operators, including Band 38 licensees, must be assigned new frequencies within the new TDD-based 2500 MHz band plan.</w:t>
      </w:r>
    </w:p>
    <w:p w14:paraId="27E8C1FB" w14:textId="77777777" w:rsidR="00B24831" w:rsidRPr="00B24831" w:rsidRDefault="00B24831" w:rsidP="003F5B64">
      <w:pPr>
        <w:tabs>
          <w:tab w:val="clear" w:pos="720"/>
        </w:tabs>
        <w:jc w:val="both"/>
        <w:rPr>
          <w:rFonts w:cs="Arial"/>
          <w:iCs/>
          <w:szCs w:val="22"/>
        </w:rPr>
      </w:pPr>
    </w:p>
    <w:p w14:paraId="3B25CD5D" w14:textId="4AB22DB8" w:rsidR="00A02A92" w:rsidRDefault="0089328E" w:rsidP="0089328E">
      <w:pPr>
        <w:tabs>
          <w:tab w:val="clear" w:pos="720"/>
        </w:tabs>
        <w:ind w:left="1440" w:hanging="720"/>
        <w:jc w:val="both"/>
        <w:rPr>
          <w:rFonts w:cs="Arial"/>
          <w:b/>
          <w:bCs/>
          <w:iCs/>
          <w:szCs w:val="22"/>
        </w:rPr>
      </w:pPr>
      <w:r>
        <w:rPr>
          <w:rFonts w:cs="Arial"/>
          <w:b/>
          <w:bCs/>
          <w:iCs/>
          <w:szCs w:val="22"/>
        </w:rPr>
        <w:t>d.</w:t>
      </w:r>
      <w:r>
        <w:rPr>
          <w:rFonts w:cs="Arial"/>
          <w:b/>
          <w:bCs/>
          <w:iCs/>
          <w:szCs w:val="22"/>
        </w:rPr>
        <w:tab/>
      </w:r>
      <w:r w:rsidR="00A02A92" w:rsidRPr="0089328E">
        <w:rPr>
          <w:rFonts w:cs="Arial"/>
          <w:b/>
          <w:bCs/>
          <w:iCs/>
          <w:szCs w:val="22"/>
        </w:rPr>
        <w:t>what is the appropriate tier level for the transition and how might the deployment requirements be adjusted to reflect this?</w:t>
      </w:r>
    </w:p>
    <w:p w14:paraId="203C827C" w14:textId="77777777" w:rsidR="00B24831" w:rsidRPr="00B24831" w:rsidRDefault="00B24831" w:rsidP="00B24831">
      <w:pPr>
        <w:tabs>
          <w:tab w:val="clear" w:pos="720"/>
        </w:tabs>
        <w:spacing w:line="360" w:lineRule="auto"/>
        <w:jc w:val="both"/>
        <w:rPr>
          <w:rFonts w:cs="Arial"/>
          <w:iCs/>
          <w:szCs w:val="22"/>
        </w:rPr>
      </w:pPr>
    </w:p>
    <w:p w14:paraId="06F44909" w14:textId="6A2E02AC" w:rsidR="00B24831" w:rsidRPr="00D94E50" w:rsidRDefault="00B24831" w:rsidP="00B24831">
      <w:pPr>
        <w:widowControl/>
        <w:numPr>
          <w:ilvl w:val="0"/>
          <w:numId w:val="1"/>
        </w:numPr>
        <w:spacing w:line="360" w:lineRule="auto"/>
        <w:jc w:val="both"/>
        <w:rPr>
          <w:rFonts w:cs="Arial"/>
          <w:szCs w:val="22"/>
        </w:rPr>
      </w:pPr>
      <w:r w:rsidRPr="00D94E50">
        <w:rPr>
          <w:rFonts w:cs="Arial"/>
          <w:szCs w:val="22"/>
        </w:rPr>
        <w:t xml:space="preserve">We recommend that the transition process follow the geographic areas and the corresponding Tier areas identified in our response to Question 2 above. </w:t>
      </w:r>
      <w:r w:rsidR="00E83700">
        <w:rPr>
          <w:rFonts w:cs="Arial"/>
          <w:szCs w:val="22"/>
        </w:rPr>
        <w:t xml:space="preserve"> </w:t>
      </w:r>
      <w:r w:rsidRPr="00D94E50">
        <w:rPr>
          <w:rFonts w:cs="Arial"/>
          <w:szCs w:val="22"/>
        </w:rPr>
        <w:t xml:space="preserve">These would mostly comprise Tier 3 licence areas, though in some cases certain Tier 4 areas within a Tier 3 licence area may be included in one market grouping while the remaining Tier 4 areas are included in another. </w:t>
      </w:r>
      <w:r w:rsidR="00E83700">
        <w:rPr>
          <w:rFonts w:cs="Arial"/>
          <w:szCs w:val="22"/>
        </w:rPr>
        <w:t xml:space="preserve"> </w:t>
      </w:r>
      <w:r w:rsidRPr="00D94E50">
        <w:rPr>
          <w:rFonts w:cs="Arial"/>
          <w:szCs w:val="22"/>
        </w:rPr>
        <w:t xml:space="preserve">The transition </w:t>
      </w:r>
      <w:r w:rsidR="007068D0">
        <w:rPr>
          <w:rFonts w:cs="Arial"/>
          <w:szCs w:val="22"/>
        </w:rPr>
        <w:t>would</w:t>
      </w:r>
      <w:r w:rsidR="007068D0" w:rsidRPr="00D94E50">
        <w:rPr>
          <w:rFonts w:cs="Arial"/>
          <w:szCs w:val="22"/>
        </w:rPr>
        <w:t xml:space="preserve"> </w:t>
      </w:r>
      <w:r w:rsidRPr="00D94E50">
        <w:rPr>
          <w:rFonts w:cs="Arial"/>
          <w:szCs w:val="22"/>
        </w:rPr>
        <w:t>take place as defined by mutual agreement among existing 2500</w:t>
      </w:r>
      <w:r w:rsidR="00E83700">
        <w:rPr>
          <w:rFonts w:cs="Arial"/>
          <w:szCs w:val="22"/>
        </w:rPr>
        <w:t> </w:t>
      </w:r>
      <w:r w:rsidRPr="00D94E50">
        <w:rPr>
          <w:rFonts w:cs="Arial"/>
          <w:szCs w:val="22"/>
        </w:rPr>
        <w:t xml:space="preserve">MHz spectrum licensees ‒ an approach that is already being practically managed during the frequency adjustments currently being carried out for interference management with US TDD operations along the border. </w:t>
      </w:r>
      <w:r w:rsidR="00E83700">
        <w:rPr>
          <w:rFonts w:cs="Arial"/>
          <w:szCs w:val="22"/>
        </w:rPr>
        <w:t xml:space="preserve"> </w:t>
      </w:r>
      <w:r w:rsidRPr="00D94E50">
        <w:rPr>
          <w:rFonts w:cs="Arial"/>
          <w:szCs w:val="22"/>
        </w:rPr>
        <w:t>To the extent a spectrum licence Tier is split between two areas with different transition deadlines, then this can be managed through temporary authorizations from ISED as required.</w:t>
      </w:r>
    </w:p>
    <w:p w14:paraId="64A28F7F" w14:textId="77777777" w:rsidR="00B24831" w:rsidRPr="00D94E50" w:rsidRDefault="00B24831" w:rsidP="00B24831">
      <w:pPr>
        <w:widowControl/>
        <w:spacing w:line="360" w:lineRule="auto"/>
        <w:jc w:val="both"/>
        <w:rPr>
          <w:rFonts w:cs="Arial"/>
          <w:szCs w:val="22"/>
        </w:rPr>
      </w:pPr>
    </w:p>
    <w:p w14:paraId="4B67E1F0" w14:textId="4713DE20" w:rsidR="00B24831" w:rsidRPr="00D94E50" w:rsidRDefault="00B24831" w:rsidP="00B24831">
      <w:pPr>
        <w:widowControl/>
        <w:numPr>
          <w:ilvl w:val="0"/>
          <w:numId w:val="1"/>
        </w:numPr>
        <w:spacing w:line="360" w:lineRule="auto"/>
        <w:jc w:val="both"/>
        <w:rPr>
          <w:rFonts w:cs="Arial"/>
          <w:szCs w:val="22"/>
        </w:rPr>
      </w:pPr>
      <w:r w:rsidRPr="00D94E50">
        <w:rPr>
          <w:rFonts w:cs="Arial"/>
          <w:szCs w:val="22"/>
        </w:rPr>
        <w:t>It is not necessary to follow a rigid tier-level structure for the transition, such as the Tier</w:t>
      </w:r>
      <w:r w:rsidR="00E83700">
        <w:rPr>
          <w:rFonts w:cs="Arial"/>
          <w:szCs w:val="22"/>
        </w:rPr>
        <w:t> </w:t>
      </w:r>
      <w:r w:rsidRPr="00D94E50">
        <w:rPr>
          <w:rFonts w:cs="Arial"/>
          <w:szCs w:val="22"/>
        </w:rPr>
        <w:t>5</w:t>
      </w:r>
      <w:r w:rsidR="00E83700">
        <w:rPr>
          <w:rFonts w:cs="Arial"/>
          <w:szCs w:val="22"/>
        </w:rPr>
        <w:noBreakHyphen/>
      </w:r>
      <w:r w:rsidRPr="00D94E50">
        <w:rPr>
          <w:rFonts w:cs="Arial"/>
          <w:szCs w:val="22"/>
        </w:rPr>
        <w:t xml:space="preserve">based or Tier 4-based approach used in the ongoing 3500 MHz transition process. </w:t>
      </w:r>
      <w:r w:rsidR="00E83700">
        <w:rPr>
          <w:rFonts w:cs="Arial"/>
          <w:szCs w:val="22"/>
        </w:rPr>
        <w:t xml:space="preserve"> </w:t>
      </w:r>
      <w:r w:rsidRPr="00D94E50">
        <w:rPr>
          <w:rFonts w:cs="Arial"/>
          <w:szCs w:val="22"/>
        </w:rPr>
        <w:t>We recommend that ISED allow existing 2500 MHz spectrum licensees to finalize a transition plan mutually and then implement it based on the agreed-upon timelines.</w:t>
      </w:r>
    </w:p>
    <w:p w14:paraId="175BD5CE" w14:textId="77777777" w:rsidR="00B24831" w:rsidRPr="00B24831" w:rsidRDefault="00B24831" w:rsidP="003F5B64">
      <w:pPr>
        <w:tabs>
          <w:tab w:val="clear" w:pos="720"/>
        </w:tabs>
        <w:jc w:val="both"/>
        <w:rPr>
          <w:rFonts w:cs="Arial"/>
          <w:iCs/>
          <w:szCs w:val="22"/>
        </w:rPr>
      </w:pPr>
    </w:p>
    <w:p w14:paraId="34443DD4" w14:textId="49DCC0BF" w:rsidR="00A02A92" w:rsidRDefault="0089328E" w:rsidP="0089328E">
      <w:pPr>
        <w:tabs>
          <w:tab w:val="clear" w:pos="720"/>
        </w:tabs>
        <w:ind w:left="1440" w:hanging="720"/>
        <w:jc w:val="both"/>
        <w:rPr>
          <w:rFonts w:cs="Arial"/>
          <w:b/>
          <w:bCs/>
          <w:iCs/>
          <w:szCs w:val="22"/>
        </w:rPr>
      </w:pPr>
      <w:r>
        <w:rPr>
          <w:rFonts w:cs="Arial"/>
          <w:b/>
          <w:bCs/>
          <w:iCs/>
          <w:szCs w:val="22"/>
        </w:rPr>
        <w:t>e.</w:t>
      </w:r>
      <w:r>
        <w:rPr>
          <w:rFonts w:cs="Arial"/>
          <w:b/>
          <w:bCs/>
          <w:iCs/>
          <w:szCs w:val="22"/>
        </w:rPr>
        <w:tab/>
      </w:r>
      <w:r w:rsidR="00A02A92" w:rsidRPr="0089328E">
        <w:rPr>
          <w:rFonts w:cs="Arial"/>
          <w:b/>
          <w:bCs/>
          <w:iCs/>
          <w:szCs w:val="22"/>
        </w:rPr>
        <w:t>are there any temporary or longer term technical requirements that ISED should consider to minimize the potential for interference conflicts during the transition period?</w:t>
      </w:r>
    </w:p>
    <w:p w14:paraId="5F6DFDEA" w14:textId="77777777" w:rsidR="00D230B0" w:rsidRPr="00D230B0" w:rsidRDefault="00D230B0" w:rsidP="00D230B0">
      <w:pPr>
        <w:tabs>
          <w:tab w:val="clear" w:pos="720"/>
        </w:tabs>
        <w:spacing w:line="360" w:lineRule="auto"/>
        <w:jc w:val="both"/>
        <w:rPr>
          <w:rFonts w:cs="Arial"/>
          <w:iCs/>
          <w:szCs w:val="22"/>
        </w:rPr>
      </w:pPr>
    </w:p>
    <w:p w14:paraId="00D2DDB3" w14:textId="35EF4F65" w:rsidR="00D230B0" w:rsidRPr="00D94E50" w:rsidRDefault="00D230B0" w:rsidP="00D230B0">
      <w:pPr>
        <w:widowControl/>
        <w:numPr>
          <w:ilvl w:val="0"/>
          <w:numId w:val="1"/>
        </w:numPr>
        <w:spacing w:line="360" w:lineRule="auto"/>
        <w:jc w:val="both"/>
        <w:rPr>
          <w:rFonts w:cs="Arial"/>
          <w:szCs w:val="22"/>
        </w:rPr>
      </w:pPr>
      <w:r w:rsidRPr="00D94E50">
        <w:rPr>
          <w:rFonts w:cs="Arial"/>
          <w:szCs w:val="22"/>
        </w:rPr>
        <w:t xml:space="preserve">Initial discussions regarding </w:t>
      </w:r>
      <w:r w:rsidR="007068D0">
        <w:rPr>
          <w:rFonts w:cs="Arial"/>
          <w:szCs w:val="22"/>
        </w:rPr>
        <w:t>the</w:t>
      </w:r>
      <w:r w:rsidR="007068D0" w:rsidRPr="00D94E50">
        <w:rPr>
          <w:rFonts w:cs="Arial"/>
          <w:szCs w:val="22"/>
        </w:rPr>
        <w:t xml:space="preserve"> </w:t>
      </w:r>
      <w:r w:rsidRPr="00D94E50">
        <w:rPr>
          <w:rFonts w:cs="Arial"/>
          <w:szCs w:val="22"/>
        </w:rPr>
        <w:t xml:space="preserve">transition plan envision markets that transition over different time periods, raising potential concerns about interference at borders between FDD and TDD systems. </w:t>
      </w:r>
      <w:r w:rsidR="00E83700">
        <w:rPr>
          <w:rFonts w:cs="Arial"/>
          <w:szCs w:val="22"/>
        </w:rPr>
        <w:t xml:space="preserve"> </w:t>
      </w:r>
      <w:r w:rsidRPr="00D94E50">
        <w:rPr>
          <w:rFonts w:cs="Arial"/>
          <w:szCs w:val="22"/>
        </w:rPr>
        <w:t xml:space="preserve">These discussions have considered this concern, addressing them with planned boundaries situated along less densely populated areas to minimize the potential for interference at the borders between transitioning and non-transitioning regions. </w:t>
      </w:r>
      <w:r w:rsidR="00E83700">
        <w:rPr>
          <w:rFonts w:cs="Arial"/>
          <w:szCs w:val="22"/>
        </w:rPr>
        <w:t xml:space="preserve"> </w:t>
      </w:r>
      <w:r w:rsidRPr="00D94E50">
        <w:rPr>
          <w:rFonts w:cs="Arial"/>
          <w:szCs w:val="22"/>
        </w:rPr>
        <w:t>Additionally, we recommend that existing 2500 MHz spectrum licensees coordinate among themselves and agree upon measures to address any interference issues that may arise at market boundaries during the transition period.</w:t>
      </w:r>
    </w:p>
    <w:p w14:paraId="348FC012" w14:textId="77777777" w:rsidR="00D230B0" w:rsidRPr="00D94E50" w:rsidRDefault="00D230B0" w:rsidP="00D230B0">
      <w:pPr>
        <w:widowControl/>
        <w:spacing w:line="360" w:lineRule="auto"/>
        <w:jc w:val="both"/>
        <w:rPr>
          <w:rFonts w:cs="Arial"/>
          <w:szCs w:val="22"/>
        </w:rPr>
      </w:pPr>
    </w:p>
    <w:p w14:paraId="7D7568CF" w14:textId="7BBEBF73" w:rsidR="003F5B64" w:rsidRDefault="00D230B0" w:rsidP="003F5B64">
      <w:pPr>
        <w:widowControl/>
        <w:numPr>
          <w:ilvl w:val="0"/>
          <w:numId w:val="1"/>
        </w:numPr>
        <w:spacing w:line="360" w:lineRule="auto"/>
        <w:jc w:val="both"/>
        <w:rPr>
          <w:rFonts w:cs="Arial"/>
          <w:szCs w:val="22"/>
        </w:rPr>
      </w:pPr>
      <w:r w:rsidRPr="00D94E50">
        <w:rPr>
          <w:rFonts w:cs="Arial"/>
          <w:szCs w:val="22"/>
        </w:rPr>
        <w:lastRenderedPageBreak/>
        <w:t xml:space="preserve">While interference issues should not be a significant problem, we strongly recommend that ISED finalize updates to the relevant Radio Standards Specification (RSS) and Standard Radio System Plan (SRSP) documents for the band at the earliest opportunity, so that Band 41 equipment can be certified in Canada. </w:t>
      </w:r>
      <w:r w:rsidR="00E83700">
        <w:rPr>
          <w:rFonts w:cs="Arial"/>
          <w:szCs w:val="22"/>
        </w:rPr>
        <w:t xml:space="preserve"> </w:t>
      </w:r>
      <w:r w:rsidRPr="00D94E50">
        <w:rPr>
          <w:rFonts w:cs="Arial"/>
          <w:szCs w:val="22"/>
        </w:rPr>
        <w:t xml:space="preserve">This is a prerequisite for the transition to proceed. </w:t>
      </w:r>
      <w:r w:rsidR="00E83700">
        <w:rPr>
          <w:rFonts w:cs="Arial"/>
          <w:szCs w:val="22"/>
        </w:rPr>
        <w:t xml:space="preserve"> </w:t>
      </w:r>
      <w:r w:rsidRPr="00D94E50">
        <w:rPr>
          <w:rFonts w:cs="Arial"/>
          <w:szCs w:val="22"/>
        </w:rPr>
        <w:t xml:space="preserve">Moreover, we recommend that the technical parameters for Band 41 equipment mirror those adopted in the US, such that Canadian mobile network operators have full access to the established US equipment ecosystem. </w:t>
      </w:r>
      <w:r w:rsidR="00E83700">
        <w:rPr>
          <w:rFonts w:cs="Arial"/>
          <w:szCs w:val="22"/>
        </w:rPr>
        <w:t xml:space="preserve"> </w:t>
      </w:r>
      <w:r w:rsidRPr="00D94E50">
        <w:rPr>
          <w:rFonts w:cs="Arial"/>
          <w:szCs w:val="22"/>
        </w:rPr>
        <w:t>Additional limits are not necessary within the SRSP to mitigate interference at service area borders or between adjacent</w:t>
      </w:r>
      <w:r w:rsidR="00D52973">
        <w:rPr>
          <w:rFonts w:cs="Arial"/>
          <w:szCs w:val="22"/>
        </w:rPr>
        <w:t xml:space="preserve"> spectrum</w:t>
      </w:r>
      <w:r w:rsidRPr="00D94E50">
        <w:rPr>
          <w:rFonts w:cs="Arial"/>
          <w:szCs w:val="22"/>
        </w:rPr>
        <w:t xml:space="preserve"> blocks. </w:t>
      </w:r>
      <w:r w:rsidR="00E83700">
        <w:rPr>
          <w:rFonts w:cs="Arial"/>
          <w:szCs w:val="22"/>
        </w:rPr>
        <w:t xml:space="preserve"> </w:t>
      </w:r>
      <w:r w:rsidRPr="00D94E50">
        <w:rPr>
          <w:rFonts w:cs="Arial"/>
          <w:szCs w:val="22"/>
        </w:rPr>
        <w:t>A combination of the existing limits in the SRSP and RSS, together with mutually agreed mechanisms among existing 2500 MHz spectrum licensees, is sufficient to minimize interference throughout the transition period and beyond.</w:t>
      </w:r>
    </w:p>
    <w:p w14:paraId="6EED728C" w14:textId="77777777" w:rsidR="00FA58A6" w:rsidRPr="003F5B64" w:rsidRDefault="00FA58A6" w:rsidP="00FA58A6">
      <w:pPr>
        <w:widowControl/>
        <w:tabs>
          <w:tab w:val="clear" w:pos="720"/>
        </w:tabs>
        <w:jc w:val="both"/>
        <w:rPr>
          <w:rFonts w:cs="Arial"/>
          <w:szCs w:val="22"/>
        </w:rPr>
      </w:pPr>
    </w:p>
    <w:p w14:paraId="3904CE13" w14:textId="661924B4" w:rsidR="00A02A92" w:rsidRPr="0089328E" w:rsidRDefault="0089328E" w:rsidP="0089328E">
      <w:pPr>
        <w:tabs>
          <w:tab w:val="clear" w:pos="720"/>
        </w:tabs>
        <w:ind w:left="1440" w:hanging="720"/>
        <w:jc w:val="both"/>
        <w:rPr>
          <w:rFonts w:cs="Arial"/>
          <w:b/>
          <w:bCs/>
          <w:iCs/>
          <w:szCs w:val="22"/>
        </w:rPr>
      </w:pPr>
      <w:r>
        <w:rPr>
          <w:rFonts w:cs="Arial"/>
          <w:b/>
          <w:bCs/>
          <w:iCs/>
          <w:szCs w:val="22"/>
        </w:rPr>
        <w:t>f.</w:t>
      </w:r>
      <w:r>
        <w:rPr>
          <w:rFonts w:cs="Arial"/>
          <w:b/>
          <w:bCs/>
          <w:iCs/>
          <w:szCs w:val="22"/>
        </w:rPr>
        <w:tab/>
      </w:r>
      <w:r w:rsidR="00A02A92" w:rsidRPr="0089328E">
        <w:rPr>
          <w:rFonts w:cs="Arial"/>
          <w:b/>
          <w:bCs/>
          <w:iCs/>
          <w:szCs w:val="22"/>
        </w:rPr>
        <w:t>are there any other key elements that ISED should consider for a transition plan?</w:t>
      </w:r>
    </w:p>
    <w:p w14:paraId="35BF3866" w14:textId="77777777" w:rsidR="00336526" w:rsidRPr="007C3E5F" w:rsidRDefault="00336526" w:rsidP="00A02A92">
      <w:pPr>
        <w:spacing w:line="360" w:lineRule="auto"/>
        <w:jc w:val="both"/>
        <w:rPr>
          <w:rFonts w:cs="Arial"/>
          <w:iCs/>
          <w:szCs w:val="22"/>
        </w:rPr>
      </w:pPr>
    </w:p>
    <w:p w14:paraId="7E8890A4" w14:textId="454BE1AC" w:rsidR="00336526" w:rsidRDefault="00336526" w:rsidP="00336526">
      <w:pPr>
        <w:widowControl/>
        <w:numPr>
          <w:ilvl w:val="0"/>
          <w:numId w:val="1"/>
        </w:numPr>
        <w:spacing w:line="360" w:lineRule="auto"/>
        <w:jc w:val="both"/>
        <w:rPr>
          <w:rFonts w:cs="Arial"/>
          <w:szCs w:val="22"/>
        </w:rPr>
      </w:pPr>
      <w:r w:rsidRPr="00D94E50">
        <w:rPr>
          <w:rFonts w:cs="Arial"/>
          <w:szCs w:val="22"/>
        </w:rPr>
        <w:t xml:space="preserve">We are confident that the existing 2500 MHz spectrum licensees can work together to plan the transition and implement it through mutual agreement. </w:t>
      </w:r>
      <w:r w:rsidR="00E83700">
        <w:rPr>
          <w:rFonts w:cs="Arial"/>
          <w:szCs w:val="22"/>
        </w:rPr>
        <w:t xml:space="preserve"> </w:t>
      </w:r>
      <w:r w:rsidRPr="00D94E50">
        <w:rPr>
          <w:rFonts w:cs="Arial"/>
          <w:szCs w:val="22"/>
        </w:rPr>
        <w:t xml:space="preserve">This is the best outcome for all </w:t>
      </w:r>
      <w:r w:rsidR="00403A22">
        <w:rPr>
          <w:rFonts w:cs="Arial"/>
          <w:szCs w:val="22"/>
        </w:rPr>
        <w:t>stakeholders</w:t>
      </w:r>
      <w:r w:rsidRPr="00D94E50">
        <w:rPr>
          <w:rFonts w:cs="Arial"/>
          <w:szCs w:val="22"/>
        </w:rPr>
        <w:t xml:space="preserve">, including Canadians, as the </w:t>
      </w:r>
      <w:r w:rsidR="00403A22">
        <w:rPr>
          <w:rFonts w:cs="Arial"/>
          <w:szCs w:val="22"/>
        </w:rPr>
        <w:t xml:space="preserve">spectrum </w:t>
      </w:r>
      <w:r w:rsidRPr="00D94E50">
        <w:rPr>
          <w:rFonts w:cs="Arial"/>
          <w:szCs w:val="22"/>
        </w:rPr>
        <w:t xml:space="preserve">band will be transitioned with minimal disruption and </w:t>
      </w:r>
      <w:r w:rsidR="00403A22">
        <w:rPr>
          <w:rFonts w:cs="Arial"/>
          <w:szCs w:val="22"/>
        </w:rPr>
        <w:t>will</w:t>
      </w:r>
      <w:r w:rsidR="00403A22" w:rsidRPr="00D94E50">
        <w:rPr>
          <w:rFonts w:cs="Arial"/>
          <w:szCs w:val="22"/>
        </w:rPr>
        <w:t xml:space="preserve"> </w:t>
      </w:r>
      <w:r w:rsidRPr="00D94E50">
        <w:rPr>
          <w:rFonts w:cs="Arial"/>
          <w:szCs w:val="22"/>
        </w:rPr>
        <w:t xml:space="preserve">maximize </w:t>
      </w:r>
      <w:r w:rsidR="00403A22">
        <w:rPr>
          <w:rFonts w:cs="Arial"/>
          <w:szCs w:val="22"/>
        </w:rPr>
        <w:t xml:space="preserve">the </w:t>
      </w:r>
      <w:r w:rsidRPr="00D94E50">
        <w:rPr>
          <w:rFonts w:cs="Arial"/>
          <w:szCs w:val="22"/>
        </w:rPr>
        <w:t xml:space="preserve">continued use of </w:t>
      </w:r>
      <w:r w:rsidR="000C1532">
        <w:rPr>
          <w:rFonts w:cs="Arial"/>
          <w:szCs w:val="22"/>
        </w:rPr>
        <w:t>2500 MHz</w:t>
      </w:r>
      <w:r w:rsidR="000C1532" w:rsidRPr="00D94E50">
        <w:rPr>
          <w:rFonts w:cs="Arial"/>
          <w:szCs w:val="22"/>
        </w:rPr>
        <w:t xml:space="preserve"> </w:t>
      </w:r>
      <w:r w:rsidRPr="00D94E50">
        <w:rPr>
          <w:rFonts w:cs="Arial"/>
          <w:szCs w:val="22"/>
        </w:rPr>
        <w:t xml:space="preserve">spectrum to ensure that Canadians continue to receive the best possible wireless services throughout the transition period and beyond. </w:t>
      </w:r>
      <w:r w:rsidR="003F5B64">
        <w:rPr>
          <w:rFonts w:cs="Arial"/>
          <w:szCs w:val="22"/>
        </w:rPr>
        <w:t xml:space="preserve"> </w:t>
      </w:r>
      <w:r w:rsidRPr="00D94E50">
        <w:rPr>
          <w:rFonts w:cs="Arial"/>
          <w:szCs w:val="22"/>
        </w:rPr>
        <w:t>As part of the negotiation process, ISED will be updated on the plans and developments as the discussions progress.</w:t>
      </w:r>
      <w:r w:rsidR="003F5B64">
        <w:rPr>
          <w:rFonts w:cs="Arial"/>
          <w:szCs w:val="22"/>
        </w:rPr>
        <w:t xml:space="preserve"> </w:t>
      </w:r>
      <w:r w:rsidRPr="00D94E50">
        <w:rPr>
          <w:rFonts w:cs="Arial"/>
          <w:szCs w:val="22"/>
        </w:rPr>
        <w:t xml:space="preserve"> </w:t>
      </w:r>
      <w:r w:rsidR="000C1532">
        <w:rPr>
          <w:rFonts w:cs="Arial"/>
          <w:szCs w:val="22"/>
        </w:rPr>
        <w:t>If existing 2500 MHz spectrum</w:t>
      </w:r>
      <w:r w:rsidRPr="00D94E50">
        <w:rPr>
          <w:rFonts w:cs="Arial"/>
          <w:szCs w:val="22"/>
        </w:rPr>
        <w:t xml:space="preserve"> licensees are unable to reach agreement on certain issues, then we recommend that ISED facilitate </w:t>
      </w:r>
      <w:r w:rsidR="003E034A">
        <w:rPr>
          <w:rFonts w:cs="Arial"/>
          <w:szCs w:val="22"/>
        </w:rPr>
        <w:t>a</w:t>
      </w:r>
      <w:r w:rsidR="003E034A" w:rsidRPr="00D94E50">
        <w:rPr>
          <w:rFonts w:cs="Arial"/>
          <w:szCs w:val="22"/>
        </w:rPr>
        <w:t xml:space="preserve"> </w:t>
      </w:r>
      <w:r w:rsidRPr="00D94E50">
        <w:rPr>
          <w:rFonts w:cs="Arial"/>
          <w:szCs w:val="22"/>
        </w:rPr>
        <w:t>resolution of such matters to ensure the transition proceeds in a timely and orderly manner.</w:t>
      </w:r>
      <w:r w:rsidR="003F5B64">
        <w:rPr>
          <w:rFonts w:cs="Arial"/>
          <w:szCs w:val="22"/>
        </w:rPr>
        <w:t xml:space="preserve"> </w:t>
      </w:r>
      <w:r w:rsidRPr="00D94E50">
        <w:rPr>
          <w:rFonts w:cs="Arial"/>
          <w:szCs w:val="22"/>
        </w:rPr>
        <w:t xml:space="preserve"> We look forward to continuing to work with ISED and fellow stakeholders to ensure a smooth and effective transition that maximizes the benefits of this important spectrum resource for all Canadians.</w:t>
      </w:r>
    </w:p>
    <w:p w14:paraId="5B247EA7" w14:textId="77777777" w:rsidR="00336526" w:rsidRPr="00D94E50" w:rsidRDefault="00336526" w:rsidP="00336526">
      <w:pPr>
        <w:widowControl/>
        <w:tabs>
          <w:tab w:val="clear" w:pos="720"/>
        </w:tabs>
        <w:spacing w:line="360" w:lineRule="auto"/>
        <w:jc w:val="both"/>
        <w:rPr>
          <w:rFonts w:cs="Arial"/>
          <w:szCs w:val="22"/>
        </w:rPr>
      </w:pPr>
    </w:p>
    <w:p w14:paraId="6D1C0DEA" w14:textId="6CDD7197" w:rsidR="00D674B2" w:rsidRPr="00336526" w:rsidRDefault="00AA324E" w:rsidP="00336526">
      <w:pPr>
        <w:spacing w:line="360" w:lineRule="auto"/>
        <w:jc w:val="center"/>
        <w:rPr>
          <w:rFonts w:cs="Arial"/>
          <w:bCs/>
          <w:szCs w:val="22"/>
        </w:rPr>
      </w:pPr>
      <w:r>
        <w:rPr>
          <w:rFonts w:cs="Arial"/>
          <w:bCs/>
          <w:szCs w:val="22"/>
        </w:rPr>
        <w:t>*** End of Document ***</w:t>
      </w:r>
    </w:p>
    <w:sectPr w:rsidR="00D674B2" w:rsidRPr="00336526" w:rsidSect="0068792D">
      <w:headerReference w:type="even" r:id="rId14"/>
      <w:headerReference w:type="default" r:id="rId15"/>
      <w:footerReference w:type="even" r:id="rId16"/>
      <w:footerReference w:type="default" r:id="rId17"/>
      <w:headerReference w:type="first" r:id="rId18"/>
      <w:footerReference w:type="first" r:id="rId19"/>
      <w:pgSz w:w="12240" w:h="15840" w:code="1"/>
      <w:pgMar w:top="1080" w:right="1440" w:bottom="108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89B37F" w14:textId="77777777" w:rsidR="00D06A9C" w:rsidRDefault="00D06A9C">
      <w:r>
        <w:separator/>
      </w:r>
    </w:p>
  </w:endnote>
  <w:endnote w:type="continuationSeparator" w:id="0">
    <w:p w14:paraId="594EBB06" w14:textId="77777777" w:rsidR="00D06A9C" w:rsidRDefault="00D06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8C705" w14:textId="77777777" w:rsidR="00C96AFE" w:rsidRDefault="00C96A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39EEB" w14:textId="77777777" w:rsidR="00C96AFE" w:rsidRDefault="00C96A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BE1E8" w14:textId="77777777" w:rsidR="00C96AFE" w:rsidRDefault="00C96AF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A7CBD" w14:textId="77777777" w:rsidR="00147142" w:rsidRDefault="0014714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6CC39" w14:textId="77777777" w:rsidR="00147142" w:rsidRDefault="00147142">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3C103" w14:textId="77777777" w:rsidR="00147142" w:rsidRDefault="001471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29D35" w14:textId="77777777" w:rsidR="00D06A9C" w:rsidRDefault="00D06A9C">
      <w:r>
        <w:separator/>
      </w:r>
    </w:p>
  </w:footnote>
  <w:footnote w:type="continuationSeparator" w:id="0">
    <w:p w14:paraId="0D34366A" w14:textId="77777777" w:rsidR="00D06A9C" w:rsidRDefault="00D06A9C">
      <w:r>
        <w:continuationSeparator/>
      </w:r>
    </w:p>
  </w:footnote>
  <w:footnote w:id="1">
    <w:p w14:paraId="79536C0F" w14:textId="29F65CBE" w:rsidR="00C72C25" w:rsidRPr="006A229D" w:rsidRDefault="00C72C25" w:rsidP="006A229D">
      <w:pPr>
        <w:pStyle w:val="FootnoteText"/>
        <w:tabs>
          <w:tab w:val="clear" w:pos="720"/>
        </w:tabs>
        <w:ind w:left="360" w:hanging="360"/>
        <w:jc w:val="both"/>
        <w:rPr>
          <w:sz w:val="18"/>
          <w:szCs w:val="18"/>
          <w:lang w:val="en-US"/>
        </w:rPr>
      </w:pPr>
      <w:r w:rsidRPr="006A229D">
        <w:rPr>
          <w:rStyle w:val="FootnoteReference"/>
          <w:sz w:val="18"/>
          <w:szCs w:val="18"/>
        </w:rPr>
        <w:footnoteRef/>
      </w:r>
      <w:r w:rsidRPr="006A229D">
        <w:rPr>
          <w:sz w:val="18"/>
          <w:szCs w:val="18"/>
        </w:rPr>
        <w:t xml:space="preserve"> </w:t>
      </w:r>
      <w:r w:rsidRPr="006A229D">
        <w:rPr>
          <w:sz w:val="18"/>
          <w:szCs w:val="18"/>
          <w:lang w:val="en-US"/>
        </w:rPr>
        <w:tab/>
        <w:t xml:space="preserve">ISED, Notice No. SPB-002-26 – Consultation on the Revisions to the 2500-2690 MHz Band Plan, </w:t>
      </w:r>
      <w:r w:rsidRPr="006A229D">
        <w:rPr>
          <w:i/>
          <w:iCs/>
          <w:sz w:val="18"/>
          <w:szCs w:val="18"/>
          <w:lang w:val="en-US"/>
        </w:rPr>
        <w:t>Canada Gazette</w:t>
      </w:r>
      <w:r w:rsidRPr="006A229D">
        <w:rPr>
          <w:sz w:val="18"/>
          <w:szCs w:val="18"/>
          <w:lang w:val="en-US"/>
        </w:rPr>
        <w:t>, Part I, Volume 160, Number 7, 14 February 2026</w:t>
      </w:r>
      <w:r w:rsidR="009171CB">
        <w:rPr>
          <w:sz w:val="18"/>
          <w:szCs w:val="18"/>
          <w:lang w:val="en-US"/>
        </w:rPr>
        <w:t xml:space="preserve"> (the Consultation).</w:t>
      </w:r>
    </w:p>
  </w:footnote>
  <w:footnote w:id="2">
    <w:p w14:paraId="79123589" w14:textId="323C6BCE" w:rsidR="00866846" w:rsidRPr="006A229D" w:rsidRDefault="00866846" w:rsidP="006A229D">
      <w:pPr>
        <w:pStyle w:val="FootnoteText"/>
        <w:tabs>
          <w:tab w:val="clear" w:pos="720"/>
        </w:tabs>
        <w:ind w:left="360" w:hanging="360"/>
        <w:jc w:val="both"/>
        <w:rPr>
          <w:sz w:val="18"/>
          <w:szCs w:val="18"/>
        </w:rPr>
      </w:pPr>
      <w:r w:rsidRPr="006A229D">
        <w:rPr>
          <w:rStyle w:val="FootnoteReference"/>
          <w:sz w:val="18"/>
          <w:szCs w:val="18"/>
        </w:rPr>
        <w:footnoteRef/>
      </w:r>
      <w:r w:rsidRPr="006A229D">
        <w:rPr>
          <w:sz w:val="18"/>
          <w:szCs w:val="18"/>
        </w:rPr>
        <w:t xml:space="preserve"> </w:t>
      </w:r>
      <w:r w:rsidRPr="006A229D">
        <w:rPr>
          <w:sz w:val="18"/>
          <w:szCs w:val="18"/>
        </w:rPr>
        <w:tab/>
      </w:r>
      <w:r w:rsidR="00B93A87" w:rsidRPr="006A229D">
        <w:rPr>
          <w:sz w:val="18"/>
          <w:szCs w:val="18"/>
        </w:rPr>
        <w:t>ISED,</w:t>
      </w:r>
      <w:r w:rsidR="00B93A87" w:rsidRPr="006A229D">
        <w:rPr>
          <w:i/>
          <w:iCs/>
          <w:sz w:val="18"/>
          <w:szCs w:val="18"/>
        </w:rPr>
        <w:t xml:space="preserve"> SPFC – Spectrum Policy Framework for Canada</w:t>
      </w:r>
      <w:r w:rsidR="00B93A87" w:rsidRPr="006A229D">
        <w:rPr>
          <w:sz w:val="18"/>
          <w:szCs w:val="18"/>
        </w:rPr>
        <w:t>, June 2007, section 4.3 Policy Objective.</w:t>
      </w:r>
    </w:p>
  </w:footnote>
  <w:footnote w:id="3">
    <w:p w14:paraId="4A9CB018" w14:textId="554C819C" w:rsidR="00866846" w:rsidRPr="006A229D" w:rsidRDefault="00866846" w:rsidP="006A229D">
      <w:pPr>
        <w:pStyle w:val="FootnoteText"/>
        <w:tabs>
          <w:tab w:val="clear" w:pos="720"/>
        </w:tabs>
        <w:ind w:left="360" w:hanging="360"/>
        <w:jc w:val="both"/>
        <w:rPr>
          <w:sz w:val="18"/>
          <w:szCs w:val="18"/>
        </w:rPr>
      </w:pPr>
      <w:r w:rsidRPr="006A229D">
        <w:rPr>
          <w:rStyle w:val="FootnoteReference"/>
          <w:sz w:val="18"/>
          <w:szCs w:val="18"/>
        </w:rPr>
        <w:footnoteRef/>
      </w:r>
      <w:r w:rsidRPr="006A229D">
        <w:rPr>
          <w:sz w:val="18"/>
          <w:szCs w:val="18"/>
        </w:rPr>
        <w:t xml:space="preserve"> </w:t>
      </w:r>
      <w:r w:rsidRPr="006A229D">
        <w:rPr>
          <w:sz w:val="18"/>
          <w:szCs w:val="18"/>
        </w:rPr>
        <w:tab/>
      </w:r>
      <w:r w:rsidR="006A229D" w:rsidRPr="006A229D">
        <w:rPr>
          <w:sz w:val="18"/>
          <w:szCs w:val="18"/>
        </w:rPr>
        <w:t>Ibid., section 4.4 Enabling Guidelines.</w:t>
      </w:r>
    </w:p>
  </w:footnote>
  <w:footnote w:id="4">
    <w:p w14:paraId="0D4719CC" w14:textId="77777777" w:rsidR="00A02A92" w:rsidRPr="006A229D" w:rsidRDefault="00A02A92" w:rsidP="006A229D">
      <w:pPr>
        <w:pStyle w:val="FootnoteText"/>
        <w:ind w:left="360" w:hanging="360"/>
        <w:jc w:val="both"/>
        <w:rPr>
          <w:sz w:val="18"/>
          <w:szCs w:val="18"/>
        </w:rPr>
      </w:pPr>
      <w:r w:rsidRPr="006A229D">
        <w:rPr>
          <w:rStyle w:val="FootnoteReference"/>
          <w:sz w:val="18"/>
          <w:szCs w:val="18"/>
        </w:rPr>
        <w:footnoteRef/>
      </w:r>
      <w:r w:rsidRPr="006A229D">
        <w:rPr>
          <w:sz w:val="18"/>
          <w:szCs w:val="18"/>
        </w:rPr>
        <w:t xml:space="preserve"> </w:t>
      </w:r>
      <w:r w:rsidRPr="006A229D">
        <w:rPr>
          <w:sz w:val="18"/>
          <w:szCs w:val="18"/>
        </w:rPr>
        <w:tab/>
        <w:t>The Consultation, paragraph 19.</w:t>
      </w:r>
    </w:p>
  </w:footnote>
  <w:footnote w:id="5">
    <w:p w14:paraId="30F86445" w14:textId="73152299" w:rsidR="00316831" w:rsidRPr="006A229D" w:rsidRDefault="00316831" w:rsidP="006A229D">
      <w:pPr>
        <w:pStyle w:val="FootnoteText"/>
        <w:ind w:left="360" w:hanging="360"/>
        <w:jc w:val="both"/>
        <w:rPr>
          <w:sz w:val="18"/>
          <w:szCs w:val="18"/>
        </w:rPr>
      </w:pPr>
      <w:r w:rsidRPr="006A229D">
        <w:rPr>
          <w:rStyle w:val="FootnoteReference"/>
          <w:sz w:val="18"/>
          <w:szCs w:val="18"/>
        </w:rPr>
        <w:footnoteRef/>
      </w:r>
      <w:r w:rsidRPr="006A229D">
        <w:rPr>
          <w:sz w:val="18"/>
          <w:szCs w:val="18"/>
        </w:rPr>
        <w:t xml:space="preserve"> </w:t>
      </w:r>
      <w:r w:rsidRPr="006A229D">
        <w:rPr>
          <w:sz w:val="18"/>
          <w:szCs w:val="18"/>
        </w:rPr>
        <w:tab/>
      </w:r>
      <w:r w:rsidR="00E83700">
        <w:rPr>
          <w:sz w:val="18"/>
          <w:szCs w:val="18"/>
        </w:rPr>
        <w:t xml:space="preserve">Ibid., </w:t>
      </w:r>
      <w:r w:rsidRPr="006A229D">
        <w:rPr>
          <w:sz w:val="18"/>
          <w:szCs w:val="18"/>
        </w:rPr>
        <w:t>paragraph 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4395B" w14:textId="77777777" w:rsidR="00C96AFE" w:rsidRDefault="00C96A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1C9BE" w14:textId="77777777" w:rsidR="00C96AFE" w:rsidRDefault="00C96A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5AD43" w14:textId="344046CD" w:rsidR="00147142" w:rsidRPr="00FA6A37" w:rsidRDefault="00E053F1" w:rsidP="009856E8">
    <w:pPr>
      <w:tabs>
        <w:tab w:val="right" w:pos="9360"/>
      </w:tabs>
      <w:rPr>
        <w:rFonts w:cs="Arial"/>
      </w:rPr>
    </w:pPr>
    <w:r>
      <w:rPr>
        <w:rFonts w:cs="Arial"/>
      </w:rPr>
      <w:t>Bell Mobility Inc.</w:t>
    </w:r>
  </w:p>
  <w:p w14:paraId="79A49AC9" w14:textId="32389943" w:rsidR="00147142" w:rsidRPr="00FA6A37" w:rsidRDefault="00E053F1" w:rsidP="00943535">
    <w:pPr>
      <w:tabs>
        <w:tab w:val="right" w:pos="9360"/>
      </w:tabs>
      <w:rPr>
        <w:rFonts w:cs="Arial"/>
      </w:rPr>
    </w:pPr>
    <w:r>
      <w:rPr>
        <w:rFonts w:cs="Arial"/>
      </w:rPr>
      <w:t xml:space="preserve">ISED </w:t>
    </w:r>
    <w:r w:rsidRPr="00E053F1">
      <w:rPr>
        <w:rFonts w:cs="Arial"/>
      </w:rPr>
      <w:t>SPB</w:t>
    </w:r>
    <w:r w:rsidRPr="00E053F1">
      <w:rPr>
        <w:rFonts w:ascii="Cambria Math" w:hAnsi="Cambria Math" w:cs="Cambria Math"/>
      </w:rPr>
      <w:t>‑</w:t>
    </w:r>
    <w:r w:rsidRPr="00E053F1">
      <w:rPr>
        <w:rFonts w:cs="Arial"/>
      </w:rPr>
      <w:t>002-26</w:t>
    </w:r>
    <w:r>
      <w:rPr>
        <w:rFonts w:cs="Arial"/>
      </w:rPr>
      <w:t xml:space="preserve"> – Comments</w:t>
    </w:r>
    <w:r w:rsidR="00AA324E">
      <w:rPr>
        <w:rFonts w:cs="Arial"/>
      </w:rPr>
      <w:tab/>
    </w:r>
    <w:r w:rsidR="00AA324E" w:rsidRPr="00FA6A37">
      <w:rPr>
        <w:rFonts w:cs="Arial"/>
      </w:rPr>
      <w:t xml:space="preserve">Page </w:t>
    </w:r>
    <w:r w:rsidR="00AA324E" w:rsidRPr="00FA6A37">
      <w:rPr>
        <w:rFonts w:cs="Arial"/>
      </w:rPr>
      <w:fldChar w:fldCharType="begin"/>
    </w:r>
    <w:r w:rsidR="00AA324E" w:rsidRPr="00FA6A37">
      <w:rPr>
        <w:rFonts w:cs="Arial"/>
      </w:rPr>
      <w:instrText xml:space="preserve"> PAGE </w:instrText>
    </w:r>
    <w:r w:rsidR="00AA324E" w:rsidRPr="00FA6A37">
      <w:rPr>
        <w:rFonts w:cs="Arial"/>
      </w:rPr>
      <w:fldChar w:fldCharType="separate"/>
    </w:r>
    <w:r w:rsidR="00366057">
      <w:rPr>
        <w:rFonts w:cs="Arial"/>
        <w:noProof/>
      </w:rPr>
      <w:t>2</w:t>
    </w:r>
    <w:r w:rsidR="00AA324E" w:rsidRPr="00FA6A37">
      <w:rPr>
        <w:rFonts w:cs="Arial"/>
      </w:rPr>
      <w:fldChar w:fldCharType="end"/>
    </w:r>
    <w:r w:rsidR="00AA324E" w:rsidRPr="00FA6A37">
      <w:rPr>
        <w:rFonts w:cs="Arial"/>
      </w:rPr>
      <w:t xml:space="preserve"> of </w:t>
    </w:r>
    <w:r w:rsidR="00AA324E" w:rsidRPr="00FA6A37">
      <w:rPr>
        <w:rFonts w:cs="Arial"/>
      </w:rPr>
      <w:fldChar w:fldCharType="begin"/>
    </w:r>
    <w:r w:rsidR="00AA324E" w:rsidRPr="00FA6A37">
      <w:rPr>
        <w:rFonts w:cs="Arial"/>
      </w:rPr>
      <w:instrText xml:space="preserve"> NUMPAGES  </w:instrText>
    </w:r>
    <w:r w:rsidR="00AA324E" w:rsidRPr="00FA6A37">
      <w:rPr>
        <w:rFonts w:cs="Arial"/>
      </w:rPr>
      <w:fldChar w:fldCharType="separate"/>
    </w:r>
    <w:r w:rsidR="00366057">
      <w:rPr>
        <w:rFonts w:cs="Arial"/>
        <w:noProof/>
      </w:rPr>
      <w:t>3</w:t>
    </w:r>
    <w:r w:rsidR="00AA324E" w:rsidRPr="00FA6A37">
      <w:rPr>
        <w:rFonts w:cs="Arial"/>
      </w:rPr>
      <w:fldChar w:fldCharType="end"/>
    </w:r>
  </w:p>
  <w:p w14:paraId="3AD2FABE" w14:textId="77777777" w:rsidR="00147142" w:rsidRPr="00FA6A37" w:rsidRDefault="00147142" w:rsidP="009856E8">
    <w:pPr>
      <w:pStyle w:val="Header"/>
      <w:rPr>
        <w:rFonts w:cs="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9F04D" w14:textId="77777777" w:rsidR="00147142" w:rsidRDefault="0014714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C85CC" w14:textId="77777777" w:rsidR="00E053F1" w:rsidRPr="00FA6A37" w:rsidRDefault="00E053F1" w:rsidP="00E053F1">
    <w:pPr>
      <w:tabs>
        <w:tab w:val="right" w:pos="9360"/>
      </w:tabs>
      <w:rPr>
        <w:rFonts w:cs="Arial"/>
      </w:rPr>
    </w:pPr>
    <w:r>
      <w:rPr>
        <w:rFonts w:cs="Arial"/>
      </w:rPr>
      <w:t>Bell Mobility Inc.</w:t>
    </w:r>
  </w:p>
  <w:p w14:paraId="78F5B215" w14:textId="77777777" w:rsidR="00E053F1" w:rsidRPr="00FA6A37" w:rsidRDefault="00E053F1" w:rsidP="00E053F1">
    <w:pPr>
      <w:tabs>
        <w:tab w:val="right" w:pos="9360"/>
      </w:tabs>
      <w:rPr>
        <w:rFonts w:cs="Arial"/>
      </w:rPr>
    </w:pPr>
    <w:r>
      <w:rPr>
        <w:rFonts w:cs="Arial"/>
      </w:rPr>
      <w:t xml:space="preserve">ISED </w:t>
    </w:r>
    <w:r w:rsidRPr="00E053F1">
      <w:rPr>
        <w:rFonts w:cs="Arial"/>
      </w:rPr>
      <w:t>SPB</w:t>
    </w:r>
    <w:r w:rsidRPr="00E053F1">
      <w:rPr>
        <w:rFonts w:ascii="Cambria Math" w:hAnsi="Cambria Math" w:cs="Cambria Math"/>
      </w:rPr>
      <w:t>‑</w:t>
    </w:r>
    <w:r w:rsidRPr="00E053F1">
      <w:rPr>
        <w:rFonts w:cs="Arial"/>
      </w:rPr>
      <w:t>002-26</w:t>
    </w:r>
    <w:r>
      <w:rPr>
        <w:rFonts w:cs="Arial"/>
      </w:rPr>
      <w:t xml:space="preserve"> – Comments</w:t>
    </w:r>
    <w:r>
      <w:rPr>
        <w:rFonts w:cs="Arial"/>
      </w:rPr>
      <w:tab/>
    </w:r>
    <w:r w:rsidRPr="00FA6A37">
      <w:rPr>
        <w:rFonts w:cs="Arial"/>
      </w:rPr>
      <w:t xml:space="preserve">Page </w:t>
    </w:r>
    <w:r w:rsidRPr="00FA6A37">
      <w:rPr>
        <w:rFonts w:cs="Arial"/>
      </w:rPr>
      <w:fldChar w:fldCharType="begin"/>
    </w:r>
    <w:r w:rsidRPr="00FA6A37">
      <w:rPr>
        <w:rFonts w:cs="Arial"/>
      </w:rPr>
      <w:instrText xml:space="preserve"> PAGE </w:instrText>
    </w:r>
    <w:r w:rsidRPr="00FA6A37">
      <w:rPr>
        <w:rFonts w:cs="Arial"/>
      </w:rPr>
      <w:fldChar w:fldCharType="separate"/>
    </w:r>
    <w:r>
      <w:rPr>
        <w:rFonts w:cs="Arial"/>
      </w:rPr>
      <w:t>1</w:t>
    </w:r>
    <w:r w:rsidRPr="00FA6A37">
      <w:rPr>
        <w:rFonts w:cs="Arial"/>
      </w:rPr>
      <w:fldChar w:fldCharType="end"/>
    </w:r>
    <w:r w:rsidRPr="00FA6A37">
      <w:rPr>
        <w:rFonts w:cs="Arial"/>
      </w:rPr>
      <w:t xml:space="preserve"> of </w:t>
    </w:r>
    <w:r w:rsidRPr="00FA6A37">
      <w:rPr>
        <w:rFonts w:cs="Arial"/>
      </w:rPr>
      <w:fldChar w:fldCharType="begin"/>
    </w:r>
    <w:r w:rsidRPr="00FA6A37">
      <w:rPr>
        <w:rFonts w:cs="Arial"/>
      </w:rPr>
      <w:instrText xml:space="preserve"> NUMPAGES  </w:instrText>
    </w:r>
    <w:r w:rsidRPr="00FA6A37">
      <w:rPr>
        <w:rFonts w:cs="Arial"/>
      </w:rPr>
      <w:fldChar w:fldCharType="separate"/>
    </w:r>
    <w:r>
      <w:rPr>
        <w:rFonts w:cs="Arial"/>
      </w:rPr>
      <w:t>3</w:t>
    </w:r>
    <w:r w:rsidRPr="00FA6A37">
      <w:rPr>
        <w:rFonts w:cs="Arial"/>
      </w:rPr>
      <w:fldChar w:fldCharType="end"/>
    </w:r>
  </w:p>
  <w:p w14:paraId="04BDBAB5" w14:textId="77777777" w:rsidR="00E053F1" w:rsidRPr="00FA6A37" w:rsidRDefault="00E053F1" w:rsidP="00E053F1">
    <w:pPr>
      <w:pStyle w:val="Header"/>
      <w:rPr>
        <w:rFonts w:cs="Arial"/>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DC6AB" w14:textId="77777777" w:rsidR="00147142" w:rsidRDefault="001471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2F16E6"/>
    <w:multiLevelType w:val="multilevel"/>
    <w:tmpl w:val="E130A580"/>
    <w:lvl w:ilvl="0">
      <w:start w:val="1"/>
      <w:numFmt w:val="decimal"/>
      <w:pStyle w:val="Heading1"/>
      <w:lvlText w:val="%1.0"/>
      <w:lvlJc w:val="left"/>
      <w:pPr>
        <w:tabs>
          <w:tab w:val="num" w:pos="720"/>
        </w:tabs>
        <w:ind w:left="720" w:hanging="720"/>
      </w:pPr>
      <w:rPr>
        <w:rFonts w:ascii="Arial" w:hAnsi="Arial" w:hint="default"/>
        <w:b/>
        <w:i w:val="0"/>
        <w:color w:val="auto"/>
        <w:sz w:val="22"/>
        <w:szCs w:val="22"/>
        <w:u w:val="none"/>
      </w:rPr>
    </w:lvl>
    <w:lvl w:ilvl="1">
      <w:start w:val="1"/>
      <w:numFmt w:val="decimal"/>
      <w:pStyle w:val="Heading2"/>
      <w:lvlText w:val="%1.%2"/>
      <w:lvlJc w:val="left"/>
      <w:pPr>
        <w:tabs>
          <w:tab w:val="num" w:pos="720"/>
        </w:tabs>
        <w:ind w:left="720" w:hanging="720"/>
      </w:pPr>
      <w:rPr>
        <w:rFonts w:ascii="Arial" w:hAnsi="Arial" w:hint="default"/>
        <w:b/>
        <w:i w:val="0"/>
        <w:color w:val="auto"/>
        <w:sz w:val="22"/>
        <w:szCs w:val="22"/>
        <w:u w:val="none"/>
      </w:rPr>
    </w:lvl>
    <w:lvl w:ilvl="2">
      <w:start w:val="1"/>
      <w:numFmt w:val="decimal"/>
      <w:pStyle w:val="Heading3"/>
      <w:lvlText w:val="%1.%2.%3"/>
      <w:lvlJc w:val="left"/>
      <w:pPr>
        <w:tabs>
          <w:tab w:val="num" w:pos="720"/>
        </w:tabs>
        <w:ind w:left="720" w:hanging="720"/>
      </w:pPr>
      <w:rPr>
        <w:rFonts w:ascii="Arial" w:hAnsi="Arial" w:hint="default"/>
        <w:b/>
        <w:i w:val="0"/>
        <w:caps w:val="0"/>
        <w:strike w:val="0"/>
        <w:dstrike w:val="0"/>
        <w:outline w:val="0"/>
        <w:shadow w:val="0"/>
        <w:emboss w:val="0"/>
        <w:imprint w:val="0"/>
        <w:vanish w:val="0"/>
        <w:kern w:val="0"/>
        <w:sz w:val="22"/>
        <w:szCs w:val="22"/>
        <w:u w:val="none"/>
        <w:vertAlign w:val="baseline"/>
      </w:rPr>
    </w:lvl>
    <w:lvl w:ilvl="3">
      <w:start w:val="1"/>
      <w:numFmt w:val="decimal"/>
      <w:pStyle w:val="Heading4"/>
      <w:lvlText w:val="%1.%2.%3.%4"/>
      <w:lvlJc w:val="left"/>
      <w:pPr>
        <w:tabs>
          <w:tab w:val="num" w:pos="0"/>
        </w:tabs>
        <w:ind w:left="0" w:firstLine="0"/>
      </w:pPr>
      <w:rPr>
        <w:rFonts w:ascii="Arial" w:hAnsi="Arial" w:hint="default"/>
        <w:b/>
        <w:i w:val="0"/>
        <w:caps w:val="0"/>
        <w:strike w:val="0"/>
        <w:dstrike w:val="0"/>
        <w:outline w:val="0"/>
        <w:shadow w:val="0"/>
        <w:emboss w:val="0"/>
        <w:imprint w:val="0"/>
        <w:vanish w:val="0"/>
        <w:sz w:val="22"/>
        <w:szCs w:val="22"/>
        <w:u w:val="none"/>
        <w:vertAlign w:val="baseline"/>
      </w:rPr>
    </w:lvl>
    <w:lvl w:ilvl="4">
      <w:start w:val="1"/>
      <w:numFmt w:val="decimal"/>
      <w:pStyle w:val="Heading5"/>
      <w:lvlText w:val="%1.%2.%3.%4.%5"/>
      <w:lvlJc w:val="left"/>
      <w:pPr>
        <w:tabs>
          <w:tab w:val="num" w:pos="0"/>
        </w:tabs>
        <w:ind w:left="0" w:firstLine="0"/>
      </w:pPr>
      <w:rPr>
        <w:rFonts w:ascii="Arial" w:hAnsi="Arial" w:hint="default"/>
        <w:b/>
        <w:i w:val="0"/>
        <w:caps w:val="0"/>
        <w:strike w:val="0"/>
        <w:dstrike w:val="0"/>
        <w:outline w:val="0"/>
        <w:shadow w:val="0"/>
        <w:emboss w:val="0"/>
        <w:imprint w:val="0"/>
        <w:vanish w:val="0"/>
        <w:sz w:val="22"/>
        <w:szCs w:val="22"/>
        <w:u w:val="none"/>
        <w:vertAlign w:val="baseline"/>
      </w:rPr>
    </w:lvl>
    <w:lvl w:ilvl="5">
      <w:start w:val="1"/>
      <w:numFmt w:val="decimal"/>
      <w:pStyle w:val="Heading6"/>
      <w:lvlText w:val="%1.%2.%3.%4.%5.%6"/>
      <w:lvlJc w:val="left"/>
      <w:pPr>
        <w:tabs>
          <w:tab w:val="num" w:pos="0"/>
        </w:tabs>
        <w:ind w:left="0" w:firstLine="0"/>
      </w:pPr>
      <w:rPr>
        <w:rFonts w:hint="default"/>
      </w:rPr>
    </w:lvl>
    <w:lvl w:ilvl="6">
      <w:start w:val="1"/>
      <w:numFmt w:val="decimal"/>
      <w:pStyle w:val="Heading7"/>
      <w:lvlText w:val="%1.%2.%3.%4.%5.%6.%7"/>
      <w:lvlJc w:val="left"/>
      <w:pPr>
        <w:tabs>
          <w:tab w:val="num" w:pos="0"/>
        </w:tabs>
        <w:ind w:left="0" w:firstLine="0"/>
      </w:pPr>
      <w:rPr>
        <w:rFonts w:hint="default"/>
      </w:rPr>
    </w:lvl>
    <w:lvl w:ilvl="7">
      <w:start w:val="1"/>
      <w:numFmt w:val="decimal"/>
      <w:pStyle w:val="Heading8"/>
      <w:lvlText w:val="%1.%2.%3.%4.%5.%6.%7.%8"/>
      <w:lvlJc w:val="left"/>
      <w:pPr>
        <w:tabs>
          <w:tab w:val="num" w:pos="0"/>
        </w:tabs>
        <w:ind w:left="0" w:firstLine="0"/>
      </w:pPr>
      <w:rPr>
        <w:rFonts w:hint="default"/>
      </w:rPr>
    </w:lvl>
    <w:lvl w:ilvl="8">
      <w:start w:val="1"/>
      <w:numFmt w:val="decimal"/>
      <w:pStyle w:val="Heading9"/>
      <w:lvlText w:val="%1.%2.%3.%4.%5.%6.%7.%8.%9"/>
      <w:lvlJc w:val="left"/>
      <w:pPr>
        <w:tabs>
          <w:tab w:val="num" w:pos="0"/>
        </w:tabs>
        <w:ind w:left="0" w:firstLine="0"/>
      </w:pPr>
      <w:rPr>
        <w:rFonts w:hint="default"/>
      </w:rPr>
    </w:lvl>
  </w:abstractNum>
  <w:abstractNum w:abstractNumId="1" w15:restartNumberingAfterBreak="0">
    <w:nsid w:val="145D625B"/>
    <w:multiLevelType w:val="multilevel"/>
    <w:tmpl w:val="0D2CC660"/>
    <w:lvl w:ilvl="0">
      <w:start w:val="1"/>
      <w:numFmt w:val="decimal"/>
      <w:lvlText w:val="%1."/>
      <w:lvlJc w:val="left"/>
      <w:pPr>
        <w:tabs>
          <w:tab w:val="num" w:pos="720"/>
        </w:tabs>
        <w:ind w:left="0" w:firstLine="0"/>
      </w:pPr>
      <w:rPr>
        <w:rFonts w:ascii="Arial" w:hAnsi="Arial" w:hint="default"/>
        <w:b w:val="0"/>
        <w:i w:val="0"/>
        <w:sz w:val="18"/>
        <w:u w:val="none"/>
      </w:rPr>
    </w:lvl>
    <w:lvl w:ilvl="1">
      <w:start w:val="1"/>
      <w:numFmt w:val="decimal"/>
      <w:lvlText w:val="%1.%2"/>
      <w:lvlJc w:val="left"/>
      <w:pPr>
        <w:tabs>
          <w:tab w:val="num" w:pos="1440"/>
        </w:tabs>
        <w:ind w:left="1440" w:hanging="720"/>
      </w:pPr>
      <w:rPr>
        <w:rFonts w:hint="default"/>
        <w:u w:val="none"/>
      </w:rPr>
    </w:lvl>
    <w:lvl w:ilvl="2">
      <w:start w:val="1"/>
      <w:numFmt w:val="decimal"/>
      <w:lvlText w:val="%1.%2.%3"/>
      <w:lvlJc w:val="left"/>
      <w:pPr>
        <w:tabs>
          <w:tab w:val="num" w:pos="2160"/>
        </w:tabs>
        <w:ind w:left="2160" w:hanging="720"/>
      </w:pPr>
      <w:rPr>
        <w:rFonts w:hint="default"/>
        <w:u w:val="none"/>
      </w:rPr>
    </w:lvl>
    <w:lvl w:ilvl="3">
      <w:start w:val="1"/>
      <w:numFmt w:val="decimal"/>
      <w:lvlText w:val="%1.%2.%3.%4"/>
      <w:lvlJc w:val="left"/>
      <w:pPr>
        <w:tabs>
          <w:tab w:val="num" w:pos="2880"/>
        </w:tabs>
        <w:ind w:left="2880" w:hanging="720"/>
      </w:pPr>
      <w:rPr>
        <w:rFonts w:hint="default"/>
        <w:u w:val="none"/>
      </w:rPr>
    </w:lvl>
    <w:lvl w:ilvl="4">
      <w:start w:val="1"/>
      <w:numFmt w:val="decimal"/>
      <w:lvlText w:val="%1.%2.%3.%4.%5"/>
      <w:lvlJc w:val="left"/>
      <w:pPr>
        <w:tabs>
          <w:tab w:val="num" w:pos="3960"/>
        </w:tabs>
        <w:ind w:left="3960" w:hanging="1080"/>
      </w:pPr>
      <w:rPr>
        <w:rFonts w:hint="default"/>
        <w:u w:val="none"/>
      </w:rPr>
    </w:lvl>
    <w:lvl w:ilvl="5">
      <w:start w:val="1"/>
      <w:numFmt w:val="decimal"/>
      <w:lvlText w:val="%1.%2.%3.%4.%5.%6"/>
      <w:lvlJc w:val="left"/>
      <w:pPr>
        <w:tabs>
          <w:tab w:val="num" w:pos="4680"/>
        </w:tabs>
        <w:ind w:left="4680" w:hanging="1080"/>
      </w:pPr>
      <w:rPr>
        <w:rFonts w:hint="default"/>
        <w:u w:val="none"/>
      </w:rPr>
    </w:lvl>
    <w:lvl w:ilvl="6">
      <w:start w:val="1"/>
      <w:numFmt w:val="decimal"/>
      <w:lvlText w:val="%1.%2.%3.%4.%5.%6.%7"/>
      <w:lvlJc w:val="left"/>
      <w:pPr>
        <w:tabs>
          <w:tab w:val="num" w:pos="5760"/>
        </w:tabs>
        <w:ind w:left="5760" w:hanging="1440"/>
      </w:pPr>
      <w:rPr>
        <w:rFonts w:hint="default"/>
        <w:u w:val="none"/>
      </w:rPr>
    </w:lvl>
    <w:lvl w:ilvl="7">
      <w:start w:val="1"/>
      <w:numFmt w:val="decimal"/>
      <w:lvlText w:val="%1.%2.%3.%4.%5.%6.%7.%8"/>
      <w:lvlJc w:val="left"/>
      <w:pPr>
        <w:tabs>
          <w:tab w:val="num" w:pos="6480"/>
        </w:tabs>
        <w:ind w:left="6480" w:hanging="1440"/>
      </w:pPr>
      <w:rPr>
        <w:rFonts w:hint="default"/>
        <w:u w:val="none"/>
      </w:rPr>
    </w:lvl>
    <w:lvl w:ilvl="8">
      <w:start w:val="1"/>
      <w:numFmt w:val="decimal"/>
      <w:lvlText w:val="%1.%2.%3.%4.%5.%6.%7.%8.%9"/>
      <w:lvlJc w:val="left"/>
      <w:pPr>
        <w:tabs>
          <w:tab w:val="num" w:pos="7560"/>
        </w:tabs>
        <w:ind w:left="7560" w:hanging="1800"/>
      </w:pPr>
      <w:rPr>
        <w:rFonts w:hint="default"/>
        <w:u w:val="none"/>
      </w:rPr>
    </w:lvl>
  </w:abstractNum>
  <w:abstractNum w:abstractNumId="2" w15:restartNumberingAfterBreak="0">
    <w:nsid w:val="76685604"/>
    <w:multiLevelType w:val="hybridMultilevel"/>
    <w:tmpl w:val="2F0AD736"/>
    <w:lvl w:ilvl="0" w:tplc="80C202F0">
      <w:start w:val="1"/>
      <w:numFmt w:val="lowerLetter"/>
      <w:lvlText w:val="%1."/>
      <w:lvlJc w:val="left"/>
      <w:pPr>
        <w:ind w:left="720" w:hanging="360"/>
      </w:pPr>
      <w:rPr>
        <w:rFonts w:hint="default"/>
        <w:i/>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451676429">
    <w:abstractNumId w:val="1"/>
  </w:num>
  <w:num w:numId="2" w16cid:durableId="2118521135">
    <w:abstractNumId w:val="0"/>
  </w:num>
  <w:num w:numId="3" w16cid:durableId="11491355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3F1"/>
    <w:rsid w:val="0002361F"/>
    <w:rsid w:val="00050297"/>
    <w:rsid w:val="0006469C"/>
    <w:rsid w:val="000B23C9"/>
    <w:rsid w:val="000C1532"/>
    <w:rsid w:val="0014580C"/>
    <w:rsid w:val="00147142"/>
    <w:rsid w:val="001636DC"/>
    <w:rsid w:val="001672A1"/>
    <w:rsid w:val="001B4C73"/>
    <w:rsid w:val="001B71EB"/>
    <w:rsid w:val="001C7770"/>
    <w:rsid w:val="002614BE"/>
    <w:rsid w:val="00292B05"/>
    <w:rsid w:val="002A2F12"/>
    <w:rsid w:val="002D2A71"/>
    <w:rsid w:val="002E47A0"/>
    <w:rsid w:val="002F5D3F"/>
    <w:rsid w:val="0031365A"/>
    <w:rsid w:val="00316831"/>
    <w:rsid w:val="00327A9E"/>
    <w:rsid w:val="00336526"/>
    <w:rsid w:val="003539B9"/>
    <w:rsid w:val="00366057"/>
    <w:rsid w:val="003E034A"/>
    <w:rsid w:val="003F5B64"/>
    <w:rsid w:val="00403A22"/>
    <w:rsid w:val="00487D03"/>
    <w:rsid w:val="005810CD"/>
    <w:rsid w:val="00597B97"/>
    <w:rsid w:val="005E7FAA"/>
    <w:rsid w:val="00622357"/>
    <w:rsid w:val="00695EC9"/>
    <w:rsid w:val="006A229D"/>
    <w:rsid w:val="007068D0"/>
    <w:rsid w:val="007C3E5F"/>
    <w:rsid w:val="007E111E"/>
    <w:rsid w:val="00801555"/>
    <w:rsid w:val="008601BE"/>
    <w:rsid w:val="008623ED"/>
    <w:rsid w:val="00862FF8"/>
    <w:rsid w:val="00866846"/>
    <w:rsid w:val="008827EF"/>
    <w:rsid w:val="008850E3"/>
    <w:rsid w:val="0089328E"/>
    <w:rsid w:val="009171CB"/>
    <w:rsid w:val="00923C35"/>
    <w:rsid w:val="0093171B"/>
    <w:rsid w:val="009515DC"/>
    <w:rsid w:val="00997C22"/>
    <w:rsid w:val="009C4959"/>
    <w:rsid w:val="00A02A92"/>
    <w:rsid w:val="00A509B4"/>
    <w:rsid w:val="00AA324E"/>
    <w:rsid w:val="00B06D32"/>
    <w:rsid w:val="00B21B30"/>
    <w:rsid w:val="00B24831"/>
    <w:rsid w:val="00B7505A"/>
    <w:rsid w:val="00B93A87"/>
    <w:rsid w:val="00BB0770"/>
    <w:rsid w:val="00BB337D"/>
    <w:rsid w:val="00C37046"/>
    <w:rsid w:val="00C72C25"/>
    <w:rsid w:val="00C86552"/>
    <w:rsid w:val="00C96AFE"/>
    <w:rsid w:val="00CE444A"/>
    <w:rsid w:val="00CE70FB"/>
    <w:rsid w:val="00D06A9C"/>
    <w:rsid w:val="00D12B48"/>
    <w:rsid w:val="00D230B0"/>
    <w:rsid w:val="00D52973"/>
    <w:rsid w:val="00D674B2"/>
    <w:rsid w:val="00DB10E9"/>
    <w:rsid w:val="00E00125"/>
    <w:rsid w:val="00E053F1"/>
    <w:rsid w:val="00E07756"/>
    <w:rsid w:val="00E83700"/>
    <w:rsid w:val="00F82468"/>
    <w:rsid w:val="00FA1408"/>
    <w:rsid w:val="00FA58A6"/>
    <w:rsid w:val="00FE1F64"/>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9395C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324E"/>
    <w:pPr>
      <w:widowControl w:val="0"/>
      <w:tabs>
        <w:tab w:val="left" w:pos="720"/>
      </w:tabs>
      <w:spacing w:after="0" w:line="240" w:lineRule="auto"/>
    </w:pPr>
    <w:rPr>
      <w:rFonts w:ascii="Arial" w:eastAsia="Times New Roman" w:hAnsi="Arial" w:cs="Times New Roman"/>
      <w:szCs w:val="20"/>
      <w:lang w:eastAsia="en-CA"/>
    </w:rPr>
  </w:style>
  <w:style w:type="paragraph" w:styleId="Heading1">
    <w:name w:val="heading 1"/>
    <w:basedOn w:val="Normal"/>
    <w:next w:val="Normal"/>
    <w:link w:val="Heading1Char"/>
    <w:autoRedefine/>
    <w:qFormat/>
    <w:rsid w:val="00AA324E"/>
    <w:pPr>
      <w:keepNext/>
      <w:numPr>
        <w:numId w:val="2"/>
      </w:numPr>
      <w:tabs>
        <w:tab w:val="clear" w:pos="720"/>
      </w:tabs>
      <w:outlineLvl w:val="0"/>
    </w:pPr>
    <w:rPr>
      <w:b/>
      <w:caps/>
      <w:u w:val="single"/>
    </w:rPr>
  </w:style>
  <w:style w:type="paragraph" w:styleId="Heading2">
    <w:name w:val="heading 2"/>
    <w:basedOn w:val="Normal"/>
    <w:next w:val="Normal"/>
    <w:link w:val="Heading2Char"/>
    <w:autoRedefine/>
    <w:qFormat/>
    <w:rsid w:val="00AA324E"/>
    <w:pPr>
      <w:keepNext/>
      <w:widowControl/>
      <w:numPr>
        <w:ilvl w:val="1"/>
        <w:numId w:val="2"/>
      </w:numPr>
      <w:tabs>
        <w:tab w:val="clear" w:pos="720"/>
      </w:tabs>
      <w:outlineLvl w:val="1"/>
    </w:pPr>
    <w:rPr>
      <w:b/>
      <w:u w:val="single"/>
    </w:rPr>
  </w:style>
  <w:style w:type="paragraph" w:styleId="Heading3">
    <w:name w:val="heading 3"/>
    <w:basedOn w:val="Normal"/>
    <w:next w:val="Normal"/>
    <w:link w:val="Heading3Char"/>
    <w:autoRedefine/>
    <w:qFormat/>
    <w:rsid w:val="00AA324E"/>
    <w:pPr>
      <w:keepNext/>
      <w:numPr>
        <w:ilvl w:val="2"/>
        <w:numId w:val="2"/>
      </w:numPr>
      <w:tabs>
        <w:tab w:val="clear" w:pos="720"/>
      </w:tabs>
      <w:outlineLvl w:val="2"/>
    </w:pPr>
    <w:rPr>
      <w:b/>
      <w:u w:val="single"/>
    </w:rPr>
  </w:style>
  <w:style w:type="paragraph" w:styleId="Heading4">
    <w:name w:val="heading 4"/>
    <w:basedOn w:val="Normal"/>
    <w:next w:val="Normal"/>
    <w:link w:val="Heading4Char"/>
    <w:autoRedefine/>
    <w:qFormat/>
    <w:rsid w:val="00AA324E"/>
    <w:pPr>
      <w:keepNext/>
      <w:numPr>
        <w:ilvl w:val="3"/>
        <w:numId w:val="2"/>
      </w:numPr>
      <w:tabs>
        <w:tab w:val="clear" w:pos="720"/>
      </w:tabs>
      <w:outlineLvl w:val="3"/>
    </w:pPr>
    <w:rPr>
      <w:b/>
      <w:u w:val="single"/>
    </w:rPr>
  </w:style>
  <w:style w:type="paragraph" w:styleId="Heading5">
    <w:name w:val="heading 5"/>
    <w:basedOn w:val="Normal"/>
    <w:next w:val="Normal"/>
    <w:link w:val="Heading5Char"/>
    <w:autoRedefine/>
    <w:qFormat/>
    <w:rsid w:val="00AA324E"/>
    <w:pPr>
      <w:keepNext/>
      <w:numPr>
        <w:ilvl w:val="4"/>
        <w:numId w:val="2"/>
      </w:numPr>
      <w:tabs>
        <w:tab w:val="clear" w:pos="720"/>
      </w:tabs>
      <w:outlineLvl w:val="4"/>
    </w:pPr>
    <w:rPr>
      <w:b/>
      <w:u w:val="single"/>
    </w:rPr>
  </w:style>
  <w:style w:type="paragraph" w:styleId="Heading6">
    <w:name w:val="heading 6"/>
    <w:basedOn w:val="Normal"/>
    <w:next w:val="Normal"/>
    <w:link w:val="Heading6Char"/>
    <w:qFormat/>
    <w:rsid w:val="00AA324E"/>
    <w:pPr>
      <w:numPr>
        <w:ilvl w:val="5"/>
        <w:numId w:val="2"/>
      </w:numPr>
      <w:tabs>
        <w:tab w:val="clear" w:pos="720"/>
      </w:tabs>
      <w:spacing w:before="240" w:after="60"/>
      <w:outlineLvl w:val="5"/>
    </w:pPr>
    <w:rPr>
      <w:rFonts w:ascii="Times New Roman" w:hAnsi="Times New Roman"/>
      <w:i/>
    </w:rPr>
  </w:style>
  <w:style w:type="paragraph" w:styleId="Heading7">
    <w:name w:val="heading 7"/>
    <w:basedOn w:val="Normal"/>
    <w:next w:val="Normal"/>
    <w:link w:val="Heading7Char"/>
    <w:qFormat/>
    <w:rsid w:val="00AA324E"/>
    <w:pPr>
      <w:numPr>
        <w:ilvl w:val="6"/>
        <w:numId w:val="2"/>
      </w:numPr>
      <w:tabs>
        <w:tab w:val="clear" w:pos="720"/>
      </w:tabs>
      <w:spacing w:before="240" w:after="60"/>
      <w:outlineLvl w:val="6"/>
    </w:pPr>
    <w:rPr>
      <w:sz w:val="20"/>
    </w:rPr>
  </w:style>
  <w:style w:type="paragraph" w:styleId="Heading8">
    <w:name w:val="heading 8"/>
    <w:basedOn w:val="Normal"/>
    <w:next w:val="Normal"/>
    <w:link w:val="Heading8Char"/>
    <w:qFormat/>
    <w:rsid w:val="00AA324E"/>
    <w:pPr>
      <w:numPr>
        <w:ilvl w:val="7"/>
        <w:numId w:val="2"/>
      </w:numPr>
      <w:tabs>
        <w:tab w:val="clear" w:pos="720"/>
      </w:tabs>
      <w:spacing w:before="240" w:after="60"/>
      <w:outlineLvl w:val="7"/>
    </w:pPr>
    <w:rPr>
      <w:i/>
      <w:sz w:val="20"/>
    </w:rPr>
  </w:style>
  <w:style w:type="paragraph" w:styleId="Heading9">
    <w:name w:val="heading 9"/>
    <w:basedOn w:val="Normal"/>
    <w:next w:val="Normal"/>
    <w:link w:val="Heading9Char"/>
    <w:qFormat/>
    <w:rsid w:val="00AA324E"/>
    <w:pPr>
      <w:numPr>
        <w:ilvl w:val="8"/>
        <w:numId w:val="2"/>
      </w:numPr>
      <w:tabs>
        <w:tab w:val="clear" w:pos="720"/>
      </w:tabs>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A324E"/>
    <w:rPr>
      <w:rFonts w:ascii="Arial" w:eastAsia="Times New Roman" w:hAnsi="Arial" w:cs="Times New Roman"/>
      <w:b/>
      <w:caps/>
      <w:szCs w:val="20"/>
      <w:u w:val="single"/>
      <w:lang w:val="en-US" w:eastAsia="en-CA"/>
    </w:rPr>
  </w:style>
  <w:style w:type="character" w:customStyle="1" w:styleId="Heading2Char">
    <w:name w:val="Heading 2 Char"/>
    <w:basedOn w:val="DefaultParagraphFont"/>
    <w:link w:val="Heading2"/>
    <w:rsid w:val="00AA324E"/>
    <w:rPr>
      <w:rFonts w:ascii="Arial" w:eastAsia="Times New Roman" w:hAnsi="Arial" w:cs="Times New Roman"/>
      <w:b/>
      <w:szCs w:val="20"/>
      <w:u w:val="single"/>
      <w:lang w:val="en-US" w:eastAsia="en-CA"/>
    </w:rPr>
  </w:style>
  <w:style w:type="character" w:customStyle="1" w:styleId="Heading3Char">
    <w:name w:val="Heading 3 Char"/>
    <w:basedOn w:val="DefaultParagraphFont"/>
    <w:link w:val="Heading3"/>
    <w:rsid w:val="00AA324E"/>
    <w:rPr>
      <w:rFonts w:ascii="Arial" w:eastAsia="Times New Roman" w:hAnsi="Arial" w:cs="Times New Roman"/>
      <w:b/>
      <w:szCs w:val="20"/>
      <w:u w:val="single"/>
      <w:lang w:val="en-US" w:eastAsia="en-CA"/>
    </w:rPr>
  </w:style>
  <w:style w:type="character" w:customStyle="1" w:styleId="Heading4Char">
    <w:name w:val="Heading 4 Char"/>
    <w:basedOn w:val="DefaultParagraphFont"/>
    <w:link w:val="Heading4"/>
    <w:rsid w:val="00AA324E"/>
    <w:rPr>
      <w:rFonts w:ascii="Arial" w:eastAsia="Times New Roman" w:hAnsi="Arial" w:cs="Times New Roman"/>
      <w:b/>
      <w:szCs w:val="20"/>
      <w:u w:val="single"/>
      <w:lang w:val="en-US" w:eastAsia="en-CA"/>
    </w:rPr>
  </w:style>
  <w:style w:type="character" w:customStyle="1" w:styleId="Heading5Char">
    <w:name w:val="Heading 5 Char"/>
    <w:basedOn w:val="DefaultParagraphFont"/>
    <w:link w:val="Heading5"/>
    <w:rsid w:val="00AA324E"/>
    <w:rPr>
      <w:rFonts w:ascii="Arial" w:eastAsia="Times New Roman" w:hAnsi="Arial" w:cs="Times New Roman"/>
      <w:b/>
      <w:szCs w:val="20"/>
      <w:u w:val="single"/>
      <w:lang w:val="en-US" w:eastAsia="en-CA"/>
    </w:rPr>
  </w:style>
  <w:style w:type="character" w:customStyle="1" w:styleId="Heading6Char">
    <w:name w:val="Heading 6 Char"/>
    <w:basedOn w:val="DefaultParagraphFont"/>
    <w:link w:val="Heading6"/>
    <w:rsid w:val="00AA324E"/>
    <w:rPr>
      <w:rFonts w:ascii="Times New Roman" w:eastAsia="Times New Roman" w:hAnsi="Times New Roman" w:cs="Times New Roman"/>
      <w:i/>
      <w:szCs w:val="20"/>
      <w:lang w:val="en-US" w:eastAsia="en-CA"/>
    </w:rPr>
  </w:style>
  <w:style w:type="character" w:customStyle="1" w:styleId="Heading7Char">
    <w:name w:val="Heading 7 Char"/>
    <w:basedOn w:val="DefaultParagraphFont"/>
    <w:link w:val="Heading7"/>
    <w:rsid w:val="00AA324E"/>
    <w:rPr>
      <w:rFonts w:ascii="Arial" w:eastAsia="Times New Roman" w:hAnsi="Arial" w:cs="Times New Roman"/>
      <w:sz w:val="20"/>
      <w:szCs w:val="20"/>
      <w:lang w:val="en-US" w:eastAsia="en-CA"/>
    </w:rPr>
  </w:style>
  <w:style w:type="character" w:customStyle="1" w:styleId="Heading8Char">
    <w:name w:val="Heading 8 Char"/>
    <w:basedOn w:val="DefaultParagraphFont"/>
    <w:link w:val="Heading8"/>
    <w:rsid w:val="00AA324E"/>
    <w:rPr>
      <w:rFonts w:ascii="Arial" w:eastAsia="Times New Roman" w:hAnsi="Arial" w:cs="Times New Roman"/>
      <w:i/>
      <w:sz w:val="20"/>
      <w:szCs w:val="20"/>
      <w:lang w:val="en-US" w:eastAsia="en-CA"/>
    </w:rPr>
  </w:style>
  <w:style w:type="character" w:customStyle="1" w:styleId="Heading9Char">
    <w:name w:val="Heading 9 Char"/>
    <w:basedOn w:val="DefaultParagraphFont"/>
    <w:link w:val="Heading9"/>
    <w:rsid w:val="00AA324E"/>
    <w:rPr>
      <w:rFonts w:ascii="Arial" w:eastAsia="Times New Roman" w:hAnsi="Arial" w:cs="Times New Roman"/>
      <w:b/>
      <w:i/>
      <w:sz w:val="18"/>
      <w:szCs w:val="20"/>
      <w:lang w:val="en-US" w:eastAsia="en-CA"/>
    </w:rPr>
  </w:style>
  <w:style w:type="paragraph" w:styleId="Header">
    <w:name w:val="header"/>
    <w:basedOn w:val="Normal"/>
    <w:link w:val="HeaderChar"/>
    <w:uiPriority w:val="99"/>
    <w:unhideWhenUsed/>
    <w:rsid w:val="00AA324E"/>
    <w:pPr>
      <w:tabs>
        <w:tab w:val="clear" w:pos="720"/>
        <w:tab w:val="center" w:pos="4680"/>
        <w:tab w:val="right" w:pos="9360"/>
      </w:tabs>
    </w:pPr>
  </w:style>
  <w:style w:type="character" w:customStyle="1" w:styleId="HeaderChar">
    <w:name w:val="Header Char"/>
    <w:basedOn w:val="DefaultParagraphFont"/>
    <w:link w:val="Header"/>
    <w:uiPriority w:val="99"/>
    <w:rsid w:val="00AA324E"/>
    <w:rPr>
      <w:rFonts w:ascii="Arial" w:eastAsia="Times New Roman" w:hAnsi="Arial" w:cs="Times New Roman"/>
      <w:szCs w:val="20"/>
      <w:lang w:val="en-US" w:eastAsia="en-CA"/>
    </w:rPr>
  </w:style>
  <w:style w:type="paragraph" w:styleId="Footer">
    <w:name w:val="footer"/>
    <w:basedOn w:val="Normal"/>
    <w:link w:val="FooterChar"/>
    <w:unhideWhenUsed/>
    <w:rsid w:val="00AA324E"/>
    <w:pPr>
      <w:tabs>
        <w:tab w:val="clear" w:pos="720"/>
        <w:tab w:val="center" w:pos="4680"/>
        <w:tab w:val="right" w:pos="9360"/>
      </w:tabs>
    </w:pPr>
  </w:style>
  <w:style w:type="character" w:customStyle="1" w:styleId="FooterChar">
    <w:name w:val="Footer Char"/>
    <w:basedOn w:val="DefaultParagraphFont"/>
    <w:link w:val="Footer"/>
    <w:rsid w:val="00AA324E"/>
    <w:rPr>
      <w:rFonts w:ascii="Arial" w:eastAsia="Times New Roman" w:hAnsi="Arial" w:cs="Times New Roman"/>
      <w:szCs w:val="20"/>
      <w:lang w:val="en-US" w:eastAsia="en-CA"/>
    </w:rPr>
  </w:style>
  <w:style w:type="paragraph" w:styleId="TOC1">
    <w:name w:val="toc 1"/>
    <w:basedOn w:val="Normal"/>
    <w:next w:val="Normal"/>
    <w:autoRedefine/>
    <w:uiPriority w:val="39"/>
    <w:unhideWhenUsed/>
    <w:rsid w:val="00366057"/>
    <w:pPr>
      <w:tabs>
        <w:tab w:val="clear" w:pos="720"/>
      </w:tabs>
      <w:spacing w:after="100"/>
    </w:pPr>
  </w:style>
  <w:style w:type="paragraph" w:styleId="TOC2">
    <w:name w:val="toc 2"/>
    <w:basedOn w:val="Normal"/>
    <w:next w:val="Normal"/>
    <w:autoRedefine/>
    <w:uiPriority w:val="39"/>
    <w:unhideWhenUsed/>
    <w:rsid w:val="00366057"/>
    <w:pPr>
      <w:tabs>
        <w:tab w:val="clear" w:pos="720"/>
        <w:tab w:val="right" w:leader="dot" w:pos="9350"/>
      </w:tabs>
      <w:spacing w:after="100"/>
      <w:ind w:left="1440" w:hanging="720"/>
    </w:pPr>
  </w:style>
  <w:style w:type="paragraph" w:styleId="TOC3">
    <w:name w:val="toc 3"/>
    <w:basedOn w:val="Normal"/>
    <w:next w:val="Normal"/>
    <w:autoRedefine/>
    <w:uiPriority w:val="39"/>
    <w:unhideWhenUsed/>
    <w:rsid w:val="00366057"/>
    <w:pPr>
      <w:tabs>
        <w:tab w:val="clear" w:pos="720"/>
        <w:tab w:val="right" w:leader="dot" w:pos="9350"/>
      </w:tabs>
      <w:spacing w:after="100"/>
      <w:ind w:left="1440" w:hanging="720"/>
    </w:pPr>
  </w:style>
  <w:style w:type="character" w:styleId="Hyperlink">
    <w:name w:val="Hyperlink"/>
    <w:basedOn w:val="DefaultParagraphFont"/>
    <w:uiPriority w:val="99"/>
    <w:unhideWhenUsed/>
    <w:rsid w:val="00366057"/>
    <w:rPr>
      <w:color w:val="0563C1" w:themeColor="hyperlink"/>
      <w:u w:val="single"/>
    </w:rPr>
  </w:style>
  <w:style w:type="paragraph" w:styleId="FootnoteText">
    <w:name w:val="footnote text"/>
    <w:basedOn w:val="Normal"/>
    <w:link w:val="FootnoteTextChar"/>
    <w:uiPriority w:val="99"/>
    <w:semiHidden/>
    <w:unhideWhenUsed/>
    <w:rsid w:val="00866846"/>
    <w:rPr>
      <w:sz w:val="20"/>
    </w:rPr>
  </w:style>
  <w:style w:type="character" w:customStyle="1" w:styleId="FootnoteTextChar">
    <w:name w:val="Footnote Text Char"/>
    <w:basedOn w:val="DefaultParagraphFont"/>
    <w:link w:val="FootnoteText"/>
    <w:uiPriority w:val="99"/>
    <w:semiHidden/>
    <w:rsid w:val="00866846"/>
    <w:rPr>
      <w:rFonts w:ascii="Arial" w:eastAsia="Times New Roman" w:hAnsi="Arial" w:cs="Times New Roman"/>
      <w:sz w:val="20"/>
      <w:szCs w:val="20"/>
      <w:lang w:eastAsia="en-CA"/>
    </w:rPr>
  </w:style>
  <w:style w:type="character" w:styleId="FootnoteReference">
    <w:name w:val="footnote reference"/>
    <w:basedOn w:val="DefaultParagraphFont"/>
    <w:uiPriority w:val="99"/>
    <w:semiHidden/>
    <w:unhideWhenUsed/>
    <w:rsid w:val="00866846"/>
    <w:rPr>
      <w:vertAlign w:val="superscript"/>
    </w:rPr>
  </w:style>
  <w:style w:type="paragraph" w:styleId="ListParagraph">
    <w:name w:val="List Paragraph"/>
    <w:basedOn w:val="Normal"/>
    <w:uiPriority w:val="34"/>
    <w:qFormat/>
    <w:rsid w:val="00A02A92"/>
    <w:pPr>
      <w:ind w:left="720"/>
      <w:contextualSpacing/>
    </w:pPr>
  </w:style>
  <w:style w:type="paragraph" w:styleId="Revision">
    <w:name w:val="Revision"/>
    <w:hidden/>
    <w:uiPriority w:val="99"/>
    <w:semiHidden/>
    <w:rsid w:val="001B71EB"/>
    <w:pPr>
      <w:spacing w:after="0" w:line="240" w:lineRule="auto"/>
    </w:pPr>
    <w:rPr>
      <w:rFonts w:ascii="Arial" w:eastAsia="Times New Roman" w:hAnsi="Arial" w:cs="Times New Roman"/>
      <w:szCs w:val="20"/>
      <w:lang w:eastAsia="en-CA"/>
    </w:rPr>
  </w:style>
  <w:style w:type="character" w:styleId="UnresolvedMention">
    <w:name w:val="Unresolved Mention"/>
    <w:basedOn w:val="DefaultParagraphFont"/>
    <w:uiPriority w:val="99"/>
    <w:semiHidden/>
    <w:unhideWhenUsed/>
    <w:rsid w:val="00B93A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03C92D-5856-4DB4-8DBD-E1DE7293C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3733</Words>
  <Characters>21468</Characters>
  <Application>Microsoft Office Word</Application>
  <DocSecurity>0</DocSecurity>
  <Lines>383</Lines>
  <Paragraphs>76</Paragraphs>
  <ScaleCrop>false</ScaleCrop>
  <Company/>
  <LinksUpToDate>false</LinksUpToDate>
  <CharactersWithSpaces>25125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2026-03-31T15:28:00Z</dcterms:created>
  <dcterms:modified xsi:type="dcterms:W3CDTF">2026-04-01T02:18:00Z</dcterms:modified>
</cp:coreProperties>
</file>